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bidi w:val="0"/>
        <w:adjustRightInd w:val="0"/>
        <w:snapToGrid w:val="0"/>
        <w:spacing w:before="35" w:line="360" w:lineRule="auto"/>
        <w:ind w:right="347" w:firstLine="378" w:firstLineChars="100"/>
        <w:jc w:val="center"/>
        <w:rPr>
          <w:rFonts w:ascii="黑体" w:hAnsi="黑体" w:eastAsia="黑体" w:cs="黑体"/>
          <w:bCs/>
          <w:color w:val="auto"/>
          <w:w w:val="105"/>
          <w:sz w:val="36"/>
          <w:szCs w:val="36"/>
        </w:rPr>
      </w:pPr>
      <w:bookmarkStart w:id="6" w:name="_GoBack"/>
      <w:r>
        <w:rPr>
          <w:rFonts w:hint="eastAsia" w:ascii="黑体" w:hAnsi="黑体" w:eastAsia="黑体" w:cs="黑体"/>
          <w:bCs/>
          <w:color w:val="auto"/>
          <w:w w:val="105"/>
          <w:sz w:val="36"/>
          <w:szCs w:val="36"/>
        </w:rPr>
        <w:t>江阴市黄山华都</w:t>
      </w:r>
      <w:r>
        <w:rPr>
          <w:rFonts w:hint="eastAsia" w:ascii="黑体" w:hAnsi="黑体" w:eastAsia="黑体" w:cs="黑体"/>
          <w:bCs/>
          <w:color w:val="auto"/>
          <w:w w:val="105"/>
          <w:sz w:val="36"/>
          <w:szCs w:val="36"/>
          <w:lang w:val="en-US" w:eastAsia="zh-CN"/>
        </w:rPr>
        <w:t>小区公开</w:t>
      </w:r>
      <w:r>
        <w:rPr>
          <w:rFonts w:hint="eastAsia" w:ascii="黑体" w:hAnsi="黑体" w:eastAsia="黑体" w:cs="黑体"/>
          <w:bCs/>
          <w:color w:val="auto"/>
          <w:w w:val="105"/>
          <w:sz w:val="36"/>
          <w:szCs w:val="36"/>
        </w:rPr>
        <w:t>选聘物业服务企业</w:t>
      </w:r>
      <w:r>
        <w:rPr>
          <w:rFonts w:hint="eastAsia" w:ascii="黑体" w:hAnsi="黑体" w:eastAsia="黑体" w:cs="黑体"/>
          <w:bCs/>
          <w:color w:val="auto"/>
          <w:w w:val="105"/>
          <w:sz w:val="36"/>
          <w:szCs w:val="36"/>
          <w:lang w:val="en-US" w:eastAsia="zh-CN"/>
        </w:rPr>
        <w:t>的公告</w:t>
      </w:r>
      <w:bookmarkEnd w:id="6"/>
    </w:p>
    <w:p>
      <w:pPr>
        <w:keepNext w:val="0"/>
        <w:keepLines w:val="0"/>
        <w:pageBreakBefore w:val="0"/>
        <w:widowControl w:val="0"/>
        <w:tabs>
          <w:tab w:val="left" w:pos="2275"/>
          <w:tab w:val="left" w:pos="2859"/>
          <w:tab w:val="left" w:pos="5709"/>
          <w:tab w:val="left" w:pos="6135"/>
          <w:tab w:val="left" w:pos="6676"/>
          <w:tab w:val="left" w:pos="8100"/>
          <w:tab w:val="left" w:pos="8542"/>
        </w:tabs>
        <w:wordWrap/>
        <w:overflowPunct/>
        <w:topLinePunct w:val="0"/>
        <w:bidi w:val="0"/>
        <w:adjustRightInd w:val="0"/>
        <w:snapToGrid w:val="0"/>
        <w:spacing w:line="360" w:lineRule="auto"/>
        <w:ind w:left="321" w:right="236" w:firstLine="556"/>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江阴市黄山华都小区因前期物业服务合同期限届满，业主大会决议公开选聘物业服务企业。业主委员会依据相关规定，制定了《江阴市黄山华都选聘新物业服务企业方案》并已经公示。</w:t>
      </w:r>
    </w:p>
    <w:p>
      <w:pPr>
        <w:keepNext w:val="0"/>
        <w:keepLines w:val="0"/>
        <w:pageBreakBefore w:val="0"/>
        <w:widowControl w:val="0"/>
        <w:tabs>
          <w:tab w:val="left" w:pos="2275"/>
          <w:tab w:val="left" w:pos="2859"/>
          <w:tab w:val="left" w:pos="5709"/>
          <w:tab w:val="left" w:pos="6135"/>
          <w:tab w:val="left" w:pos="6676"/>
          <w:tab w:val="left" w:pos="8100"/>
          <w:tab w:val="left" w:pos="8542"/>
        </w:tabs>
        <w:wordWrap/>
        <w:overflowPunct/>
        <w:topLinePunct w:val="0"/>
        <w:bidi w:val="0"/>
        <w:adjustRightInd w:val="0"/>
        <w:snapToGrid w:val="0"/>
        <w:spacing w:line="360" w:lineRule="auto"/>
        <w:ind w:left="321" w:right="236" w:firstLine="556"/>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为了更好地维护业主权益，本着“国家提倡业主通过公平、公正的市场竞争机制选择物业企业”的原则，现面向社会公开选聘。</w:t>
      </w:r>
    </w:p>
    <w:p>
      <w:pPr>
        <w:keepNext w:val="0"/>
        <w:keepLines w:val="0"/>
        <w:pageBreakBefore w:val="0"/>
        <w:widowControl w:val="0"/>
        <w:tabs>
          <w:tab w:val="left" w:pos="2275"/>
          <w:tab w:val="left" w:pos="2859"/>
          <w:tab w:val="left" w:pos="5709"/>
          <w:tab w:val="left" w:pos="6135"/>
          <w:tab w:val="left" w:pos="6676"/>
          <w:tab w:val="left" w:pos="8100"/>
          <w:tab w:val="left" w:pos="8542"/>
        </w:tabs>
        <w:wordWrap/>
        <w:overflowPunct/>
        <w:topLinePunct w:val="0"/>
        <w:bidi w:val="0"/>
        <w:adjustRightInd w:val="0"/>
        <w:snapToGrid w:val="0"/>
        <w:spacing w:line="360" w:lineRule="auto"/>
        <w:ind w:left="321" w:right="236" w:firstLine="556"/>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请意向企业根据《江阴市黄山华都选聘新物业服务企业方案》的要求，于2024年2月5日（周一）前将电子材料（要求格式为PDF并打包）发送至指定邮箱，若有疑问请致电联系人询问。</w:t>
      </w:r>
    </w:p>
    <w:p>
      <w:pPr>
        <w:keepNext w:val="0"/>
        <w:keepLines w:val="0"/>
        <w:pageBreakBefore w:val="0"/>
        <w:widowControl w:val="0"/>
        <w:tabs>
          <w:tab w:val="left" w:pos="2275"/>
          <w:tab w:val="left" w:pos="2859"/>
          <w:tab w:val="left" w:pos="5709"/>
          <w:tab w:val="left" w:pos="6135"/>
          <w:tab w:val="left" w:pos="6676"/>
          <w:tab w:val="left" w:pos="8100"/>
          <w:tab w:val="left" w:pos="8542"/>
        </w:tabs>
        <w:wordWrap/>
        <w:overflowPunct/>
        <w:topLinePunct w:val="0"/>
        <w:bidi w:val="0"/>
        <w:adjustRightInd w:val="0"/>
        <w:snapToGrid w:val="0"/>
        <w:spacing w:line="360" w:lineRule="auto"/>
        <w:ind w:left="321" w:right="236" w:firstLine="556"/>
        <w:rPr>
          <w:rFonts w:hint="eastAsia" w:ascii="仿宋_GB2312" w:hAnsi="仿宋_GB2312" w:eastAsia="仿宋_GB2312" w:cs="仿宋_GB2312"/>
          <w:color w:val="auto"/>
          <w:sz w:val="28"/>
          <w:szCs w:val="28"/>
          <w:lang w:val="en-US" w:eastAsia="zh-CN"/>
        </w:rPr>
      </w:pPr>
    </w:p>
    <w:p>
      <w:pPr>
        <w:keepNext w:val="0"/>
        <w:keepLines w:val="0"/>
        <w:pageBreakBefore w:val="0"/>
        <w:widowControl w:val="0"/>
        <w:tabs>
          <w:tab w:val="left" w:pos="2275"/>
          <w:tab w:val="left" w:pos="2859"/>
          <w:tab w:val="left" w:pos="5709"/>
          <w:tab w:val="left" w:pos="6135"/>
          <w:tab w:val="left" w:pos="6676"/>
          <w:tab w:val="left" w:pos="8100"/>
          <w:tab w:val="left" w:pos="8542"/>
        </w:tabs>
        <w:wordWrap/>
        <w:overflowPunct/>
        <w:topLinePunct w:val="0"/>
        <w:bidi w:val="0"/>
        <w:adjustRightInd w:val="0"/>
        <w:snapToGrid w:val="0"/>
        <w:spacing w:line="360" w:lineRule="auto"/>
        <w:ind w:left="321" w:right="236" w:firstLine="556"/>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联 系 人：陆荣华    业主委员会主任</w:t>
      </w:r>
    </w:p>
    <w:p>
      <w:pPr>
        <w:keepNext w:val="0"/>
        <w:keepLines w:val="0"/>
        <w:pageBreakBefore w:val="0"/>
        <w:widowControl w:val="0"/>
        <w:tabs>
          <w:tab w:val="left" w:pos="2275"/>
          <w:tab w:val="left" w:pos="2859"/>
          <w:tab w:val="left" w:pos="5709"/>
          <w:tab w:val="left" w:pos="6135"/>
          <w:tab w:val="left" w:pos="6676"/>
          <w:tab w:val="left" w:pos="8100"/>
          <w:tab w:val="left" w:pos="8542"/>
        </w:tabs>
        <w:wordWrap/>
        <w:overflowPunct/>
        <w:topLinePunct w:val="0"/>
        <w:bidi w:val="0"/>
        <w:adjustRightInd w:val="0"/>
        <w:snapToGrid w:val="0"/>
        <w:spacing w:line="360" w:lineRule="auto"/>
        <w:ind w:left="321" w:right="236" w:firstLine="556"/>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联系电话：13915210929</w:t>
      </w:r>
    </w:p>
    <w:p>
      <w:pPr>
        <w:pStyle w:val="2"/>
        <w:keepNext w:val="0"/>
        <w:keepLines w:val="0"/>
        <w:pageBreakBefore w:val="0"/>
        <w:widowControl w:val="0"/>
        <w:wordWrap/>
        <w:overflowPunct/>
        <w:topLinePunct w:val="0"/>
        <w:bidi w:val="0"/>
        <w:adjustRightInd w:val="0"/>
        <w:snapToGrid w:val="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收件邮箱：634051961@</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qq.com</w:t>
      </w:r>
    </w:p>
    <w:p>
      <w:pPr>
        <w:pStyle w:val="2"/>
        <w:keepNext w:val="0"/>
        <w:keepLines w:val="0"/>
        <w:pageBreakBefore w:val="0"/>
        <w:widowControl w:val="0"/>
        <w:wordWrap/>
        <w:overflowPunct/>
        <w:topLinePunct w:val="0"/>
        <w:bidi w:val="0"/>
        <w:adjustRightInd w:val="0"/>
        <w:snapToGrid w:val="0"/>
        <w:rPr>
          <w:rFonts w:hint="eastAsia" w:ascii="仿宋_GB2312" w:hAnsi="仿宋_GB2312" w:eastAsia="仿宋_GB2312" w:cs="仿宋_GB2312"/>
          <w:color w:val="auto"/>
          <w:sz w:val="28"/>
          <w:szCs w:val="28"/>
          <w:lang w:val="en-US" w:eastAsia="zh-CN"/>
        </w:rPr>
      </w:pPr>
    </w:p>
    <w:p>
      <w:pPr>
        <w:keepNext w:val="0"/>
        <w:keepLines w:val="0"/>
        <w:pageBreakBefore w:val="0"/>
        <w:widowControl w:val="0"/>
        <w:tabs>
          <w:tab w:val="left" w:pos="2275"/>
          <w:tab w:val="left" w:pos="2859"/>
          <w:tab w:val="left" w:pos="5709"/>
          <w:tab w:val="left" w:pos="6135"/>
          <w:tab w:val="left" w:pos="6676"/>
          <w:tab w:val="left" w:pos="8100"/>
          <w:tab w:val="left" w:pos="8542"/>
        </w:tabs>
        <w:wordWrap/>
        <w:overflowPunct/>
        <w:topLinePunct w:val="0"/>
        <w:bidi w:val="0"/>
        <w:adjustRightInd w:val="0"/>
        <w:snapToGrid w:val="0"/>
        <w:spacing w:line="360" w:lineRule="auto"/>
        <w:ind w:left="321" w:right="236" w:firstLine="556"/>
        <w:rPr>
          <w:rFonts w:hint="eastAsia" w:ascii="仿宋_GB2312" w:hAnsi="仿宋_GB2312" w:eastAsia="仿宋_GB2312" w:cs="仿宋_GB2312"/>
          <w:color w:val="auto"/>
          <w:sz w:val="28"/>
          <w:szCs w:val="28"/>
          <w:lang w:val="en-US" w:eastAsia="zh-CN"/>
        </w:rPr>
      </w:pPr>
    </w:p>
    <w:p>
      <w:pPr>
        <w:keepNext w:val="0"/>
        <w:keepLines w:val="0"/>
        <w:pageBreakBefore w:val="0"/>
        <w:widowControl w:val="0"/>
        <w:tabs>
          <w:tab w:val="left" w:pos="1833"/>
        </w:tabs>
        <w:wordWrap/>
        <w:overflowPunct/>
        <w:topLinePunct w:val="0"/>
        <w:bidi w:val="0"/>
        <w:adjustRightInd w:val="0"/>
        <w:snapToGrid w:val="0"/>
        <w:spacing w:before="202" w:line="360" w:lineRule="auto"/>
        <w:ind w:firstLine="888" w:firstLineChars="300"/>
        <w:rPr>
          <w:rFonts w:ascii="仿宋_GB2312" w:hAnsi="仿宋_GB2312" w:eastAsia="仿宋_GB2312" w:cs="仿宋_GB2312"/>
          <w:color w:val="auto"/>
          <w:spacing w:val="8"/>
          <w:sz w:val="28"/>
          <w:szCs w:val="28"/>
        </w:rPr>
      </w:pPr>
      <w:r>
        <w:rPr>
          <w:rFonts w:hint="eastAsia" w:ascii="仿宋_GB2312" w:hAnsi="仿宋_GB2312" w:eastAsia="仿宋_GB2312" w:cs="仿宋_GB2312"/>
          <w:color w:val="auto"/>
          <w:spacing w:val="8"/>
          <w:sz w:val="28"/>
          <w:szCs w:val="28"/>
        </w:rPr>
        <w:t>附件：</w:t>
      </w:r>
      <w:r>
        <w:rPr>
          <w:rFonts w:hint="eastAsia" w:ascii="仿宋_GB2312" w:hAnsi="仿宋_GB2312" w:eastAsia="仿宋_GB2312" w:cs="仿宋_GB2312"/>
          <w:color w:val="auto"/>
          <w:spacing w:val="8"/>
          <w:sz w:val="28"/>
          <w:szCs w:val="28"/>
        </w:rPr>
        <w:tab/>
      </w:r>
    </w:p>
    <w:p>
      <w:pPr>
        <w:keepNext w:val="0"/>
        <w:keepLines w:val="0"/>
        <w:pageBreakBefore w:val="0"/>
        <w:widowControl w:val="0"/>
        <w:tabs>
          <w:tab w:val="left" w:pos="1833"/>
        </w:tabs>
        <w:wordWrap/>
        <w:overflowPunct/>
        <w:topLinePunct w:val="0"/>
        <w:bidi w:val="0"/>
        <w:adjustRightInd w:val="0"/>
        <w:snapToGrid w:val="0"/>
        <w:spacing w:before="202" w:line="360" w:lineRule="auto"/>
        <w:ind w:firstLine="888" w:firstLineChars="300"/>
        <w:jc w:val="left"/>
        <w:rPr>
          <w:rFonts w:ascii="仿宋_GB2312" w:hAnsi="仿宋_GB2312" w:eastAsia="仿宋_GB2312" w:cs="仿宋_GB2312"/>
          <w:color w:val="auto"/>
          <w:spacing w:val="8"/>
          <w:sz w:val="28"/>
          <w:szCs w:val="28"/>
        </w:rPr>
      </w:pPr>
      <w:r>
        <w:rPr>
          <w:rFonts w:hint="eastAsia" w:ascii="仿宋_GB2312" w:hAnsi="仿宋_GB2312" w:eastAsia="仿宋_GB2312" w:cs="仿宋_GB2312"/>
          <w:color w:val="auto"/>
          <w:spacing w:val="8"/>
          <w:sz w:val="28"/>
          <w:szCs w:val="28"/>
        </w:rPr>
        <w:t>1.江阴市黄山华都选聘新物业服务企业方案</w:t>
      </w:r>
    </w:p>
    <w:p>
      <w:pPr>
        <w:pStyle w:val="2"/>
        <w:keepNext w:val="0"/>
        <w:keepLines w:val="0"/>
        <w:pageBreakBefore w:val="0"/>
        <w:widowControl w:val="0"/>
        <w:wordWrap/>
        <w:overflowPunct/>
        <w:topLinePunct w:val="0"/>
        <w:bidi w:val="0"/>
        <w:adjustRightInd w:val="0"/>
        <w:snapToGrid w:val="0"/>
        <w:spacing w:line="360" w:lineRule="auto"/>
        <w:ind w:firstLine="888" w:firstLineChars="300"/>
        <w:jc w:val="left"/>
        <w:rPr>
          <w:rFonts w:hint="eastAsia" w:ascii="仿宋_GB2312" w:hAnsi="仿宋_GB2312" w:eastAsia="仿宋_GB2312" w:cs="仿宋_GB2312"/>
          <w:color w:val="auto"/>
          <w:spacing w:val="8"/>
          <w:sz w:val="28"/>
          <w:szCs w:val="28"/>
          <w:lang w:val="en-US"/>
        </w:rPr>
      </w:pPr>
      <w:r>
        <w:rPr>
          <w:rFonts w:hint="eastAsia" w:ascii="仿宋_GB2312" w:hAnsi="仿宋_GB2312" w:eastAsia="仿宋_GB2312" w:cs="仿宋_GB2312"/>
          <w:color w:val="auto"/>
          <w:spacing w:val="8"/>
          <w:sz w:val="28"/>
          <w:szCs w:val="28"/>
          <w:lang w:val="en-US"/>
        </w:rPr>
        <w:t>2.</w:t>
      </w:r>
      <w:r>
        <w:rPr>
          <w:rFonts w:hint="eastAsia" w:ascii="仿宋_GB2312" w:hAnsi="仿宋_GB2312" w:eastAsia="仿宋_GB2312" w:cs="仿宋_GB2312"/>
          <w:color w:val="auto"/>
          <w:spacing w:val="8"/>
          <w:sz w:val="28"/>
          <w:szCs w:val="28"/>
          <w:lang w:val="en-US" w:eastAsia="zh-CN"/>
        </w:rPr>
        <w:t>竞聘指引</w:t>
      </w:r>
    </w:p>
    <w:p>
      <w:pPr>
        <w:pStyle w:val="2"/>
        <w:keepNext w:val="0"/>
        <w:keepLines w:val="0"/>
        <w:pageBreakBefore w:val="0"/>
        <w:widowControl w:val="0"/>
        <w:wordWrap/>
        <w:overflowPunct/>
        <w:topLinePunct w:val="0"/>
        <w:bidi w:val="0"/>
        <w:adjustRightInd w:val="0"/>
        <w:snapToGrid w:val="0"/>
        <w:spacing w:line="360" w:lineRule="auto"/>
        <w:ind w:firstLine="888" w:firstLineChars="300"/>
        <w:jc w:val="left"/>
        <w:rPr>
          <w:rFonts w:hint="eastAsia" w:ascii="仿宋_GB2312" w:hAnsi="仿宋_GB2312" w:eastAsia="仿宋_GB2312" w:cs="仿宋_GB2312"/>
          <w:color w:val="auto"/>
          <w:spacing w:val="8"/>
          <w:sz w:val="28"/>
          <w:szCs w:val="28"/>
          <w:lang w:val="en-US" w:eastAsia="zh-CN"/>
        </w:rPr>
      </w:pPr>
      <w:r>
        <w:rPr>
          <w:rFonts w:hint="eastAsia" w:ascii="仿宋_GB2312" w:hAnsi="仿宋_GB2312" w:eastAsia="仿宋_GB2312" w:cs="仿宋_GB2312"/>
          <w:color w:val="auto"/>
          <w:spacing w:val="8"/>
          <w:sz w:val="28"/>
          <w:szCs w:val="28"/>
          <w:lang w:val="en-US" w:eastAsia="zh-CN"/>
        </w:rPr>
        <w:t>3.授权委托书</w:t>
      </w:r>
    </w:p>
    <w:p>
      <w:pPr>
        <w:pStyle w:val="2"/>
        <w:keepNext w:val="0"/>
        <w:keepLines w:val="0"/>
        <w:pageBreakBefore w:val="0"/>
        <w:widowControl w:val="0"/>
        <w:wordWrap/>
        <w:overflowPunct/>
        <w:topLinePunct w:val="0"/>
        <w:bidi w:val="0"/>
        <w:adjustRightInd w:val="0"/>
        <w:snapToGrid w:val="0"/>
        <w:spacing w:line="360" w:lineRule="auto"/>
        <w:ind w:firstLine="888" w:firstLineChars="300"/>
        <w:jc w:val="left"/>
        <w:rPr>
          <w:rFonts w:hint="eastAsia" w:ascii="仿宋_GB2312" w:hAnsi="仿宋_GB2312" w:eastAsia="仿宋_GB2312" w:cs="仿宋_GB2312"/>
          <w:color w:val="auto"/>
          <w:spacing w:val="8"/>
          <w:sz w:val="28"/>
          <w:szCs w:val="28"/>
          <w:lang w:val="en-US" w:eastAsia="zh-CN"/>
        </w:rPr>
      </w:pPr>
    </w:p>
    <w:p>
      <w:pPr>
        <w:keepNext w:val="0"/>
        <w:keepLines w:val="0"/>
        <w:pageBreakBefore w:val="0"/>
        <w:widowControl w:val="0"/>
        <w:wordWrap/>
        <w:overflowPunct/>
        <w:topLinePunct w:val="0"/>
        <w:bidi w:val="0"/>
        <w:adjustRightInd w:val="0"/>
        <w:snapToGrid w:val="0"/>
        <w:spacing w:line="360" w:lineRule="auto"/>
        <w:ind w:firstLine="5180" w:firstLineChars="1750"/>
        <w:jc w:val="right"/>
        <w:rPr>
          <w:rFonts w:ascii="仿宋_GB2312" w:hAnsi="仿宋_GB2312" w:eastAsia="仿宋_GB2312" w:cs="仿宋_GB2312"/>
          <w:color w:val="auto"/>
          <w:spacing w:val="8"/>
          <w:sz w:val="28"/>
          <w:szCs w:val="28"/>
        </w:rPr>
      </w:pPr>
      <w:r>
        <w:rPr>
          <w:rFonts w:hint="eastAsia" w:ascii="仿宋_GB2312" w:hAnsi="仿宋_GB2312" w:eastAsia="仿宋_GB2312" w:cs="仿宋_GB2312"/>
          <w:color w:val="auto"/>
          <w:spacing w:val="8"/>
          <w:sz w:val="28"/>
          <w:szCs w:val="28"/>
        </w:rPr>
        <w:t>黄山华都业主委员会</w:t>
      </w:r>
    </w:p>
    <w:p>
      <w:pPr>
        <w:keepNext w:val="0"/>
        <w:keepLines w:val="0"/>
        <w:pageBreakBefore w:val="0"/>
        <w:widowControl w:val="0"/>
        <w:numPr>
          <w:ilvl w:val="0"/>
          <w:numId w:val="0"/>
        </w:numPr>
        <w:tabs>
          <w:tab w:val="left" w:pos="3749"/>
          <w:tab w:val="left" w:pos="4299"/>
          <w:tab w:val="left" w:pos="4722"/>
          <w:tab w:val="left" w:pos="5281"/>
          <w:tab w:val="left" w:pos="5865"/>
        </w:tabs>
        <w:wordWrap/>
        <w:overflowPunct/>
        <w:topLinePunct w:val="0"/>
        <w:bidi w:val="0"/>
        <w:adjustRightInd w:val="0"/>
        <w:snapToGrid w:val="0"/>
        <w:spacing w:line="360" w:lineRule="auto"/>
        <w:ind w:leftChars="2157"/>
        <w:jc w:val="right"/>
        <w:rPr>
          <w:rFonts w:hint="eastAsia" w:ascii="仿宋_GB2312" w:hAnsi="仿宋_GB2312" w:eastAsia="仿宋_GB2312" w:cs="仿宋_GB2312"/>
          <w:color w:val="auto"/>
          <w:spacing w:val="8"/>
          <w:sz w:val="28"/>
          <w:szCs w:val="28"/>
          <w:lang w:val="en-US" w:eastAsia="zh-CN"/>
        </w:rPr>
      </w:pPr>
      <w:r>
        <w:rPr>
          <w:rFonts w:hint="eastAsia" w:ascii="仿宋_GB2312" w:hAnsi="仿宋_GB2312" w:eastAsia="仿宋_GB2312" w:cs="仿宋_GB2312"/>
          <w:color w:val="auto"/>
          <w:spacing w:val="8"/>
          <w:sz w:val="28"/>
          <w:szCs w:val="28"/>
          <w:lang w:val="en-US" w:eastAsia="zh-CN"/>
        </w:rPr>
        <w:t xml:space="preserve">       2024</w:t>
      </w:r>
      <w:r>
        <w:rPr>
          <w:rFonts w:hint="eastAsia" w:ascii="仿宋_GB2312" w:hAnsi="仿宋_GB2312" w:eastAsia="仿宋_GB2312" w:cs="仿宋_GB2312"/>
          <w:color w:val="auto"/>
          <w:spacing w:val="8"/>
          <w:sz w:val="28"/>
          <w:szCs w:val="28"/>
        </w:rPr>
        <w:t>年</w:t>
      </w:r>
      <w:r>
        <w:rPr>
          <w:rFonts w:hint="eastAsia" w:ascii="仿宋_GB2312" w:hAnsi="仿宋_GB2312" w:eastAsia="仿宋_GB2312" w:cs="仿宋_GB2312"/>
          <w:color w:val="auto"/>
          <w:spacing w:val="8"/>
          <w:sz w:val="28"/>
          <w:szCs w:val="28"/>
          <w:lang w:val="en-US" w:eastAsia="zh-CN"/>
        </w:rPr>
        <w:t>1</w:t>
      </w:r>
      <w:r>
        <w:rPr>
          <w:rFonts w:hint="eastAsia" w:ascii="仿宋_GB2312" w:hAnsi="仿宋_GB2312" w:eastAsia="仿宋_GB2312" w:cs="仿宋_GB2312"/>
          <w:color w:val="auto"/>
          <w:spacing w:val="8"/>
          <w:sz w:val="28"/>
          <w:szCs w:val="28"/>
        </w:rPr>
        <w:t>月</w:t>
      </w:r>
      <w:r>
        <w:rPr>
          <w:rFonts w:hint="eastAsia" w:ascii="仿宋_GB2312" w:hAnsi="仿宋_GB2312" w:eastAsia="仿宋_GB2312" w:cs="仿宋_GB2312"/>
          <w:color w:val="auto"/>
          <w:spacing w:val="8"/>
          <w:sz w:val="28"/>
          <w:szCs w:val="28"/>
          <w:lang w:val="en-US" w:eastAsia="zh-CN"/>
        </w:rPr>
        <w:t>5日</w:t>
      </w:r>
    </w:p>
    <w:p>
      <w:pPr>
        <w:pStyle w:val="2"/>
        <w:keepNext w:val="0"/>
        <w:keepLines w:val="0"/>
        <w:pageBreakBefore w:val="0"/>
        <w:widowControl w:val="0"/>
        <w:wordWrap/>
        <w:overflowPunct/>
        <w:topLinePunct w:val="0"/>
        <w:bidi w:val="0"/>
        <w:adjustRightInd w:val="0"/>
        <w:snapToGrid w:val="0"/>
        <w:rPr>
          <w:rFonts w:hint="eastAsia" w:ascii="仿宋_GB2312" w:hAnsi="仿宋_GB2312" w:eastAsia="仿宋_GB2312" w:cs="仿宋_GB2312"/>
          <w:color w:val="auto"/>
          <w:spacing w:val="8"/>
          <w:sz w:val="28"/>
          <w:szCs w:val="28"/>
          <w:lang w:val="en-US" w:eastAsia="zh-CN"/>
        </w:rPr>
      </w:pPr>
    </w:p>
    <w:p>
      <w:pPr>
        <w:pStyle w:val="2"/>
        <w:keepNext w:val="0"/>
        <w:keepLines w:val="0"/>
        <w:pageBreakBefore w:val="0"/>
        <w:widowControl w:val="0"/>
        <w:wordWrap/>
        <w:overflowPunct/>
        <w:topLinePunct w:val="0"/>
        <w:bidi w:val="0"/>
        <w:adjustRightInd w:val="0"/>
        <w:snapToGrid w:val="0"/>
        <w:rPr>
          <w:rFonts w:hint="eastAsia" w:ascii="仿宋_GB2312" w:hAnsi="仿宋_GB2312" w:eastAsia="仿宋_GB2312" w:cs="仿宋_GB2312"/>
          <w:color w:val="auto"/>
          <w:spacing w:val="8"/>
          <w:sz w:val="28"/>
          <w:szCs w:val="28"/>
          <w:lang w:val="en-US" w:eastAsia="zh-CN"/>
        </w:rPr>
      </w:pPr>
    </w:p>
    <w:p>
      <w:pPr>
        <w:pStyle w:val="2"/>
        <w:keepNext w:val="0"/>
        <w:keepLines w:val="0"/>
        <w:pageBreakBefore w:val="0"/>
        <w:widowControl w:val="0"/>
        <w:wordWrap/>
        <w:overflowPunct/>
        <w:topLinePunct w:val="0"/>
        <w:bidi w:val="0"/>
        <w:adjustRightInd w:val="0"/>
        <w:snapToGrid w:val="0"/>
        <w:rPr>
          <w:rFonts w:hint="eastAsia" w:ascii="仿宋_GB2312" w:hAnsi="仿宋_GB2312" w:eastAsia="仿宋_GB2312" w:cs="仿宋_GB2312"/>
          <w:color w:val="auto"/>
          <w:spacing w:val="8"/>
          <w:sz w:val="28"/>
          <w:szCs w:val="28"/>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r>
        <w:rPr>
          <w:rFonts w:hint="eastAsia" w:ascii="黑体" w:hAnsi="黑体" w:eastAsia="黑体" w:cs="黑体"/>
          <w:bCs/>
          <w:color w:val="auto"/>
          <w:w w:val="105"/>
          <w:sz w:val="32"/>
          <w:szCs w:val="32"/>
          <w:lang w:val="en-US" w:eastAsia="zh-CN"/>
        </w:rPr>
        <w:t>附件1</w:t>
      </w:r>
    </w:p>
    <w:p>
      <w:pPr>
        <w:keepNext w:val="0"/>
        <w:keepLines w:val="0"/>
        <w:pageBreakBefore w:val="0"/>
        <w:widowControl w:val="0"/>
        <w:wordWrap/>
        <w:overflowPunct/>
        <w:topLinePunct w:val="0"/>
        <w:bidi w:val="0"/>
        <w:adjustRightInd w:val="0"/>
        <w:snapToGrid w:val="0"/>
        <w:spacing w:before="35" w:line="360" w:lineRule="auto"/>
        <w:ind w:right="347"/>
        <w:jc w:val="center"/>
        <w:rPr>
          <w:rFonts w:ascii="黑体" w:hAnsi="黑体" w:eastAsia="黑体" w:cs="黑体"/>
          <w:bCs/>
          <w:color w:val="auto"/>
          <w:w w:val="105"/>
          <w:sz w:val="36"/>
          <w:szCs w:val="36"/>
        </w:rPr>
      </w:pPr>
      <w:r>
        <w:rPr>
          <w:rFonts w:hint="eastAsia" w:ascii="黑体" w:hAnsi="黑体" w:eastAsia="黑体" w:cs="黑体"/>
          <w:bCs/>
          <w:color w:val="auto"/>
          <w:w w:val="105"/>
          <w:sz w:val="36"/>
          <w:szCs w:val="36"/>
        </w:rPr>
        <w:t>江阴市黄山华都选聘新物业服务企业方案</w:t>
      </w:r>
    </w:p>
    <w:p>
      <w:pPr>
        <w:pStyle w:val="16"/>
        <w:keepNext w:val="0"/>
        <w:keepLines w:val="0"/>
        <w:pageBreakBefore w:val="0"/>
        <w:widowControl w:val="0"/>
        <w:wordWrap/>
        <w:overflowPunct/>
        <w:topLinePunct w:val="0"/>
        <w:bidi w:val="0"/>
        <w:adjustRightInd w:val="0"/>
        <w:snapToGrid w:val="0"/>
        <w:spacing w:line="360" w:lineRule="auto"/>
        <w:ind w:left="720" w:firstLine="0" w:firstLineChars="0"/>
        <w:textAlignment w:val="baseline"/>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一、项目基本信息：</w:t>
      </w:r>
    </w:p>
    <w:p>
      <w:pPr>
        <w:pStyle w:val="4"/>
        <w:keepNext w:val="0"/>
        <w:keepLines w:val="0"/>
        <w:pageBreakBefore w:val="0"/>
        <w:widowControl w:val="0"/>
        <w:wordWrap/>
        <w:overflowPunct/>
        <w:topLinePunct w:val="0"/>
        <w:bidi w:val="0"/>
        <w:adjustRightInd w:val="0"/>
        <w:snapToGrid w:val="0"/>
        <w:spacing w:after="0"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物业项目名称为黄山华都，物业类型为高层10幢，座落于江阴市澄江街道。物业管理区域（四至范围）：东至纵六路，南至横三路，西至纵五路，北至横一路，占地面积：50081平方米，总建筑面积约 210079 平方米(规划面积，最终以实测面积为准)。10幢高层面积143593.32 平方米，地面车位 30 个，地下车位 1152个（其中人防车位126个）。详见下表：</w:t>
      </w:r>
    </w:p>
    <w:tbl>
      <w:tblPr>
        <w:tblStyle w:val="13"/>
        <w:tblW w:w="827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17"/>
        <w:gridCol w:w="971"/>
        <w:gridCol w:w="1065"/>
        <w:gridCol w:w="1672"/>
        <w:gridCol w:w="1188"/>
        <w:gridCol w:w="780"/>
        <w:gridCol w:w="10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jc w:val="center"/>
        </w:trPr>
        <w:tc>
          <w:tcPr>
            <w:tcW w:w="1517"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物业名称</w:t>
            </w:r>
          </w:p>
        </w:tc>
        <w:tc>
          <w:tcPr>
            <w:tcW w:w="971"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户数</w:t>
            </w:r>
          </w:p>
        </w:tc>
        <w:tc>
          <w:tcPr>
            <w:tcW w:w="106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用地面积</w:t>
            </w:r>
          </w:p>
        </w:tc>
        <w:tc>
          <w:tcPr>
            <w:tcW w:w="1672"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zh-CN"/>
              </w:rPr>
            </w:pPr>
            <w:r>
              <w:rPr>
                <w:rFonts w:hint="eastAsia" w:ascii="仿宋_GB2312" w:hAnsi="仿宋_GB2312" w:eastAsia="仿宋_GB2312" w:cs="仿宋_GB2312"/>
                <w:color w:val="auto"/>
                <w:kern w:val="0"/>
                <w:lang w:eastAsia="zh-CN"/>
              </w:rPr>
              <w:t>地上部分产权面积（平方）</w:t>
            </w:r>
          </w:p>
        </w:tc>
        <w:tc>
          <w:tcPr>
            <w:tcW w:w="1188"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地下建筑面积</w:t>
            </w:r>
          </w:p>
        </w:tc>
        <w:tc>
          <w:tcPr>
            <w:tcW w:w="780"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状态</w:t>
            </w:r>
          </w:p>
        </w:tc>
        <w:tc>
          <w:tcPr>
            <w:tcW w:w="108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物业类型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jc w:val="center"/>
        </w:trPr>
        <w:tc>
          <w:tcPr>
            <w:tcW w:w="1517"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高层</w:t>
            </w:r>
          </w:p>
        </w:tc>
        <w:tc>
          <w:tcPr>
            <w:tcW w:w="971"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799</w:t>
            </w:r>
          </w:p>
        </w:tc>
        <w:tc>
          <w:tcPr>
            <w:tcW w:w="106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w:t>
            </w:r>
          </w:p>
        </w:tc>
        <w:tc>
          <w:tcPr>
            <w:tcW w:w="1672"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143593.32</w:t>
            </w:r>
          </w:p>
        </w:tc>
        <w:tc>
          <w:tcPr>
            <w:tcW w:w="1188"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w:t>
            </w:r>
          </w:p>
        </w:tc>
        <w:tc>
          <w:tcPr>
            <w:tcW w:w="780"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交付</w:t>
            </w:r>
          </w:p>
        </w:tc>
        <w:tc>
          <w:tcPr>
            <w:tcW w:w="108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高层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1517"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物业用房</w:t>
            </w:r>
          </w:p>
        </w:tc>
        <w:tc>
          <w:tcPr>
            <w:tcW w:w="971"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1</w:t>
            </w:r>
          </w:p>
        </w:tc>
        <w:tc>
          <w:tcPr>
            <w:tcW w:w="106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w:t>
            </w:r>
          </w:p>
        </w:tc>
        <w:tc>
          <w:tcPr>
            <w:tcW w:w="1672"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659.83</w:t>
            </w:r>
          </w:p>
        </w:tc>
        <w:tc>
          <w:tcPr>
            <w:tcW w:w="1188"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w:t>
            </w:r>
          </w:p>
        </w:tc>
        <w:tc>
          <w:tcPr>
            <w:tcW w:w="780"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p>
        </w:tc>
        <w:tc>
          <w:tcPr>
            <w:tcW w:w="108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1517"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社区用房</w:t>
            </w:r>
          </w:p>
        </w:tc>
        <w:tc>
          <w:tcPr>
            <w:tcW w:w="971"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10</w:t>
            </w:r>
          </w:p>
        </w:tc>
        <w:tc>
          <w:tcPr>
            <w:tcW w:w="106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p>
        </w:tc>
        <w:tc>
          <w:tcPr>
            <w:tcW w:w="1672"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1308.34</w:t>
            </w:r>
          </w:p>
        </w:tc>
        <w:tc>
          <w:tcPr>
            <w:tcW w:w="1188"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37466.18</w:t>
            </w:r>
          </w:p>
        </w:tc>
        <w:tc>
          <w:tcPr>
            <w:tcW w:w="780"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p>
        </w:tc>
        <w:tc>
          <w:tcPr>
            <w:tcW w:w="108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jc w:val="center"/>
        </w:trPr>
        <w:tc>
          <w:tcPr>
            <w:tcW w:w="1517"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消、监控室</w:t>
            </w:r>
          </w:p>
        </w:tc>
        <w:tc>
          <w:tcPr>
            <w:tcW w:w="971"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1</w:t>
            </w:r>
          </w:p>
        </w:tc>
        <w:tc>
          <w:tcPr>
            <w:tcW w:w="106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w:t>
            </w:r>
          </w:p>
        </w:tc>
        <w:tc>
          <w:tcPr>
            <w:tcW w:w="1672"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90</w:t>
            </w:r>
          </w:p>
        </w:tc>
        <w:tc>
          <w:tcPr>
            <w:tcW w:w="1188"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w:t>
            </w:r>
          </w:p>
        </w:tc>
        <w:tc>
          <w:tcPr>
            <w:tcW w:w="780"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p>
        </w:tc>
        <w:tc>
          <w:tcPr>
            <w:tcW w:w="108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jc w:val="center"/>
        </w:trPr>
        <w:tc>
          <w:tcPr>
            <w:tcW w:w="1517"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公厕</w:t>
            </w:r>
          </w:p>
        </w:tc>
        <w:tc>
          <w:tcPr>
            <w:tcW w:w="971"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1</w:t>
            </w:r>
          </w:p>
        </w:tc>
        <w:tc>
          <w:tcPr>
            <w:tcW w:w="106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w:t>
            </w:r>
          </w:p>
        </w:tc>
        <w:tc>
          <w:tcPr>
            <w:tcW w:w="1672"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64.14</w:t>
            </w:r>
          </w:p>
        </w:tc>
        <w:tc>
          <w:tcPr>
            <w:tcW w:w="1188"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w:t>
            </w:r>
          </w:p>
        </w:tc>
        <w:tc>
          <w:tcPr>
            <w:tcW w:w="780"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p>
        </w:tc>
        <w:tc>
          <w:tcPr>
            <w:tcW w:w="108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jc w:val="center"/>
        </w:trPr>
        <w:tc>
          <w:tcPr>
            <w:tcW w:w="1517"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地面车位</w:t>
            </w:r>
          </w:p>
        </w:tc>
        <w:tc>
          <w:tcPr>
            <w:tcW w:w="971"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30</w:t>
            </w:r>
          </w:p>
        </w:tc>
        <w:tc>
          <w:tcPr>
            <w:tcW w:w="106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w:t>
            </w:r>
          </w:p>
        </w:tc>
        <w:tc>
          <w:tcPr>
            <w:tcW w:w="1672"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w:t>
            </w:r>
          </w:p>
        </w:tc>
        <w:tc>
          <w:tcPr>
            <w:tcW w:w="1188"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w:t>
            </w:r>
          </w:p>
        </w:tc>
        <w:tc>
          <w:tcPr>
            <w:tcW w:w="780"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p>
        </w:tc>
        <w:tc>
          <w:tcPr>
            <w:tcW w:w="108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1517"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地下车位</w:t>
            </w:r>
          </w:p>
        </w:tc>
        <w:tc>
          <w:tcPr>
            <w:tcW w:w="971"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1152</w:t>
            </w:r>
          </w:p>
        </w:tc>
        <w:tc>
          <w:tcPr>
            <w:tcW w:w="106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w:t>
            </w:r>
          </w:p>
        </w:tc>
        <w:tc>
          <w:tcPr>
            <w:tcW w:w="1672"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w:t>
            </w:r>
          </w:p>
        </w:tc>
        <w:tc>
          <w:tcPr>
            <w:tcW w:w="1188"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r>
              <w:rPr>
                <w:rFonts w:hint="eastAsia" w:ascii="仿宋_GB2312" w:hAnsi="仿宋_GB2312" w:eastAsia="仿宋_GB2312" w:cs="仿宋_GB2312"/>
                <w:color w:val="auto"/>
                <w:kern w:val="0"/>
                <w:lang w:eastAsia="en-US"/>
              </w:rPr>
              <w:t>47879.7</w:t>
            </w:r>
          </w:p>
        </w:tc>
        <w:tc>
          <w:tcPr>
            <w:tcW w:w="780"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p>
        </w:tc>
        <w:tc>
          <w:tcPr>
            <w:tcW w:w="1085" w:type="dxa"/>
            <w:vAlign w:val="center"/>
          </w:tcPr>
          <w:p>
            <w:pPr>
              <w:pStyle w:val="4"/>
              <w:keepNext w:val="0"/>
              <w:keepLines w:val="0"/>
              <w:pageBreakBefore w:val="0"/>
              <w:widowControl w:val="0"/>
              <w:wordWrap/>
              <w:overflowPunct/>
              <w:topLinePunct w:val="0"/>
              <w:autoSpaceDE w:val="0"/>
              <w:autoSpaceDN w:val="0"/>
              <w:bidi w:val="0"/>
              <w:adjustRightInd w:val="0"/>
              <w:snapToGrid w:val="0"/>
              <w:spacing w:after="0" w:line="360" w:lineRule="auto"/>
              <w:jc w:val="center"/>
              <w:rPr>
                <w:rFonts w:ascii="仿宋_GB2312" w:hAnsi="仿宋_GB2312" w:eastAsia="仿宋_GB2312" w:cs="仿宋_GB2312"/>
                <w:color w:val="auto"/>
                <w:kern w:val="0"/>
                <w:lang w:eastAsia="en-US"/>
              </w:rPr>
            </w:pPr>
          </w:p>
        </w:tc>
      </w:tr>
    </w:tbl>
    <w:p>
      <w:pPr>
        <w:keepNext w:val="0"/>
        <w:keepLines w:val="0"/>
        <w:pageBreakBefore w:val="0"/>
        <w:widowControl w:val="0"/>
        <w:wordWrap/>
        <w:overflowPunct/>
        <w:topLinePunct w:val="0"/>
        <w:bidi w:val="0"/>
        <w:adjustRightInd w:val="0"/>
        <w:snapToGrid w:val="0"/>
        <w:spacing w:line="360" w:lineRule="auto"/>
        <w:ind w:firstLine="562" w:firstLineChars="200"/>
        <w:textAlignment w:val="baseline"/>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二、选聘方式 ：协议方式选聘物业服务企业</w:t>
      </w:r>
    </w:p>
    <w:p>
      <w:pPr>
        <w:keepNext w:val="0"/>
        <w:keepLines w:val="0"/>
        <w:pageBreakBefore w:val="0"/>
        <w:widowControl w:val="0"/>
        <w:wordWrap/>
        <w:overflowPunct/>
        <w:topLinePunct w:val="0"/>
        <w:bidi w:val="0"/>
        <w:adjustRightInd w:val="0"/>
        <w:snapToGrid w:val="0"/>
        <w:spacing w:line="360" w:lineRule="auto"/>
        <w:ind w:firstLine="562" w:firstLineChars="200"/>
        <w:textAlignment w:val="baseline"/>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三、服务期限：</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合同期 ：本次物业选聘的物业服务期限为3年，每年第三季度由业委会通过组织业主代表、电子问卷或其他方式对物业服务进行满意率测评，满意率高于50%(含）的，继续履行合同。如满意率低于50%，则提交业主大会表决是否提前解聘。若业主大会决议解聘的，由业委会书面通知，物业服务合同立即解除，本小区全体业主无需支付任何违约金或经济补偿。</w:t>
      </w:r>
    </w:p>
    <w:p>
      <w:pPr>
        <w:keepNext w:val="0"/>
        <w:keepLines w:val="0"/>
        <w:pageBreakBefore w:val="0"/>
        <w:widowControl w:val="0"/>
        <w:wordWrap/>
        <w:overflowPunct/>
        <w:topLinePunct w:val="0"/>
        <w:bidi w:val="0"/>
        <w:adjustRightInd w:val="0"/>
        <w:snapToGrid w:val="0"/>
        <w:spacing w:line="360" w:lineRule="auto"/>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物业服务过渡期：根据《民法典》第九百五十条规定，物业服务合同终止后，在业主或者业主大会选聘的新物业服务人或者决定自行管理的业主接管之前，原物业服务人应当继续处理物业服务事项，并可以请求业主支付该期间的物业费。</w:t>
      </w:r>
    </w:p>
    <w:p>
      <w:pPr>
        <w:keepNext w:val="0"/>
        <w:keepLines w:val="0"/>
        <w:pageBreakBefore w:val="0"/>
        <w:widowControl w:val="0"/>
        <w:wordWrap/>
        <w:overflowPunct/>
        <w:topLinePunct w:val="0"/>
        <w:bidi w:val="0"/>
        <w:adjustRightInd w:val="0"/>
        <w:snapToGrid w:val="0"/>
        <w:spacing w:line="360" w:lineRule="auto"/>
        <w:ind w:firstLine="562" w:firstLineChars="200"/>
        <w:textAlignment w:val="baseline"/>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四、物业服务标准、物业服务费价格和计费方式：</w:t>
      </w:r>
    </w:p>
    <w:p>
      <w:pPr>
        <w:keepNext w:val="0"/>
        <w:keepLines w:val="0"/>
        <w:pageBreakBefore w:val="0"/>
        <w:widowControl w:val="0"/>
        <w:wordWrap/>
        <w:overflowPunct/>
        <w:topLinePunct w:val="0"/>
        <w:bidi w:val="0"/>
        <w:adjustRightInd w:val="0"/>
        <w:snapToGrid w:val="0"/>
        <w:spacing w:line="360" w:lineRule="auto"/>
        <w:ind w:firstLine="562"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1. 本小区物业服务标准：</w:t>
      </w:r>
      <w:r>
        <w:rPr>
          <w:rFonts w:hint="eastAsia" w:ascii="仿宋_GB2312" w:hAnsi="仿宋_GB2312" w:eastAsia="仿宋_GB2312" w:cs="仿宋_GB2312"/>
          <w:color w:val="auto"/>
          <w:sz w:val="28"/>
          <w:szCs w:val="28"/>
        </w:rPr>
        <w:t>参照澄发改规〔2023〕1号文件中</w:t>
      </w:r>
      <w:r>
        <w:rPr>
          <w:rFonts w:hint="eastAsia" w:ascii="仿宋_GB2312" w:hAnsi="仿宋_GB2312" w:eastAsia="仿宋_GB2312" w:cs="仿宋_GB2312"/>
          <w:color w:val="auto"/>
          <w:szCs w:val="28"/>
        </w:rPr>
        <w:t>《</w:t>
      </w:r>
      <w:r>
        <w:rPr>
          <w:rFonts w:hint="eastAsia" w:ascii="仿宋_GB2312" w:hAnsi="仿宋_GB2312" w:eastAsia="仿宋_GB2312" w:cs="仿宋_GB2312"/>
          <w:color w:val="auto"/>
          <w:sz w:val="28"/>
          <w:szCs w:val="28"/>
        </w:rPr>
        <w:t>江阴市物业服务收费管理实施办法</w:t>
      </w:r>
      <w:r>
        <w:rPr>
          <w:rFonts w:hint="eastAsia" w:ascii="仿宋_GB2312" w:hAnsi="仿宋_GB2312" w:eastAsia="仿宋_GB2312" w:cs="仿宋_GB2312"/>
          <w:color w:val="auto"/>
          <w:szCs w:val="28"/>
        </w:rPr>
        <w:t>》</w:t>
      </w:r>
      <w:r>
        <w:rPr>
          <w:rFonts w:hint="eastAsia" w:ascii="仿宋_GB2312" w:hAnsi="仿宋_GB2312" w:eastAsia="仿宋_GB2312" w:cs="仿宋_GB2312"/>
          <w:color w:val="auto"/>
          <w:sz w:val="28"/>
          <w:szCs w:val="28"/>
        </w:rPr>
        <w:t xml:space="preserve">执行。 </w:t>
      </w:r>
    </w:p>
    <w:p>
      <w:pPr>
        <w:keepNext w:val="0"/>
        <w:keepLines w:val="0"/>
        <w:pageBreakBefore w:val="0"/>
        <w:widowControl w:val="0"/>
        <w:wordWrap/>
        <w:overflowPunct/>
        <w:topLinePunct w:val="0"/>
        <w:bidi w:val="0"/>
        <w:adjustRightInd w:val="0"/>
        <w:snapToGrid w:val="0"/>
        <w:spacing w:line="360" w:lineRule="auto"/>
        <w:ind w:firstLine="562"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2.</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b/>
          <w:bCs/>
          <w:color w:val="auto"/>
          <w:sz w:val="28"/>
          <w:szCs w:val="28"/>
        </w:rPr>
        <w:t>收费标准：</w:t>
      </w:r>
      <w:r>
        <w:rPr>
          <w:rFonts w:hint="eastAsia" w:ascii="仿宋_GB2312" w:hAnsi="仿宋_GB2312" w:eastAsia="仿宋_GB2312" w:cs="仿宋_GB2312"/>
          <w:color w:val="auto"/>
          <w:sz w:val="28"/>
          <w:szCs w:val="28"/>
        </w:rPr>
        <w:t>物业公共服务等级标准保持现行的物业公共服务等级标准不变：服务标准及内容详见澄发改规〔2023〕1号文件附件。</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服务等级维持五级标准，收费2.0元/平方（含能耗、电梯费）。</w:t>
      </w:r>
    </w:p>
    <w:p>
      <w:pPr>
        <w:keepNext w:val="0"/>
        <w:keepLines w:val="0"/>
        <w:pageBreakBefore w:val="0"/>
        <w:widowControl w:val="0"/>
        <w:wordWrap/>
        <w:overflowPunct/>
        <w:topLinePunct w:val="0"/>
        <w:bidi w:val="0"/>
        <w:adjustRightInd w:val="0"/>
        <w:snapToGrid w:val="0"/>
        <w:spacing w:line="360" w:lineRule="auto"/>
        <w:ind w:firstLine="562" w:firstLineChars="200"/>
        <w:textAlignment w:val="baseline"/>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3.停车收费标准：</w:t>
      </w:r>
    </w:p>
    <w:p>
      <w:pPr>
        <w:pStyle w:val="2"/>
        <w:keepNext w:val="0"/>
        <w:keepLines w:val="0"/>
        <w:pageBreakBefore w:val="0"/>
        <w:widowControl w:val="0"/>
        <w:wordWrap/>
        <w:overflowPunct/>
        <w:topLinePunct w:val="0"/>
        <w:bidi w:val="0"/>
        <w:adjustRightInd w:val="0"/>
        <w:snapToGrid w:val="0"/>
        <w:spacing w:line="360" w:lineRule="auto"/>
        <w:ind w:firstLine="560"/>
        <w:rPr>
          <w:rFonts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业主自有车位负一层、负二层：管理费50元/月/个。</w:t>
      </w:r>
    </w:p>
    <w:p>
      <w:pPr>
        <w:pStyle w:val="2"/>
        <w:keepNext w:val="0"/>
        <w:keepLines w:val="0"/>
        <w:pageBreakBefore w:val="0"/>
        <w:widowControl w:val="0"/>
        <w:wordWrap/>
        <w:overflowPunct/>
        <w:topLinePunct w:val="0"/>
        <w:bidi w:val="0"/>
        <w:adjustRightInd w:val="0"/>
        <w:snapToGrid w:val="0"/>
        <w:spacing w:line="360" w:lineRule="auto"/>
        <w:ind w:firstLine="560"/>
        <w:rPr>
          <w:rFonts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公共车位（人防）：200元/月/个（管理费50元归物业，150元用于该人防工程设施的维护管理，由业委会收取，专款专用）。</w:t>
      </w:r>
    </w:p>
    <w:p>
      <w:pPr>
        <w:pStyle w:val="2"/>
        <w:keepNext w:val="0"/>
        <w:keepLines w:val="0"/>
        <w:pageBreakBefore w:val="0"/>
        <w:widowControl w:val="0"/>
        <w:wordWrap/>
        <w:overflowPunct/>
        <w:topLinePunct w:val="0"/>
        <w:bidi w:val="0"/>
        <w:adjustRightInd w:val="0"/>
        <w:snapToGrid w:val="0"/>
        <w:spacing w:line="360" w:lineRule="auto"/>
        <w:ind w:firstLine="560"/>
        <w:rPr>
          <w:rFonts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业主共有室外车位：170元/月/个（管理费50元归物业，120元归全体业主，用于业主共有室外车位设施的维护管理，由业委会收取）。</w:t>
      </w:r>
    </w:p>
    <w:p>
      <w:pPr>
        <w:pStyle w:val="2"/>
        <w:keepNext w:val="0"/>
        <w:keepLines w:val="0"/>
        <w:pageBreakBefore w:val="0"/>
        <w:widowControl w:val="0"/>
        <w:wordWrap/>
        <w:overflowPunct/>
        <w:topLinePunct w:val="0"/>
        <w:bidi w:val="0"/>
        <w:adjustRightInd w:val="0"/>
        <w:snapToGrid w:val="0"/>
        <w:spacing w:line="360" w:lineRule="auto"/>
        <w:ind w:firstLine="560"/>
        <w:textAlignment w:val="baseline"/>
        <w:rPr>
          <w:rFonts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注：小区访客临时机动车辆停放费可按发改委物价科备案价计费。</w:t>
      </w:r>
    </w:p>
    <w:p>
      <w:pPr>
        <w:keepNext w:val="0"/>
        <w:keepLines w:val="0"/>
        <w:pageBreakBefore w:val="0"/>
        <w:widowControl w:val="0"/>
        <w:wordWrap/>
        <w:overflowPunct/>
        <w:topLinePunct w:val="0"/>
        <w:bidi w:val="0"/>
        <w:adjustRightInd w:val="0"/>
        <w:snapToGrid w:val="0"/>
        <w:spacing w:line="360" w:lineRule="auto"/>
        <w:ind w:firstLine="562" w:firstLineChars="200"/>
        <w:textAlignment w:val="baseline"/>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4.服务管理方式：</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① 本物业项目采取包干制物业收费方式，即业主向物业服务企业支付固定物业服务费用，盈余或亏损均由物业服务企业享有或承担。</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② 中标企业应该制定特约（有偿）服务项目和收费标准，并在物业服务中心公示，业主接受特约服务的应支付相关费用。</w:t>
      </w:r>
    </w:p>
    <w:p>
      <w:pPr>
        <w:keepNext w:val="0"/>
        <w:keepLines w:val="0"/>
        <w:pageBreakBefore w:val="0"/>
        <w:widowControl w:val="0"/>
        <w:wordWrap/>
        <w:overflowPunct/>
        <w:topLinePunct w:val="0"/>
        <w:bidi w:val="0"/>
        <w:adjustRightInd w:val="0"/>
        <w:snapToGrid w:val="0"/>
        <w:spacing w:line="360" w:lineRule="auto"/>
        <w:ind w:firstLine="562" w:firstLineChars="200"/>
        <w:textAlignment w:val="baseline"/>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5.公共收益：</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5"/>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b/>
          <w:bCs/>
          <w:color w:val="auto"/>
          <w:kern w:val="2"/>
          <w:sz w:val="28"/>
          <w:szCs w:val="28"/>
        </w:rPr>
        <w:t>收益项目：</w:t>
      </w:r>
      <w:r>
        <w:rPr>
          <w:rFonts w:hint="eastAsia" w:ascii="仿宋_GB2312" w:hAnsi="仿宋_GB2312" w:eastAsia="仿宋_GB2312" w:cs="仿宋_GB2312"/>
          <w:color w:val="auto"/>
          <w:kern w:val="2"/>
          <w:sz w:val="28"/>
          <w:szCs w:val="28"/>
        </w:rPr>
        <w:t>是指利用本小区共有部位或本小区资源、场地经营所得收益。包括但不限于所有广告收益（灯箱、橱窗、通道、电梯等）、电信基站服务费、租用小区内场地的租金、快递柜租金、业主共有用房租金、</w:t>
      </w:r>
      <w:r>
        <w:rPr>
          <w:rFonts w:hint="eastAsia" w:ascii="仿宋_GB2312" w:hAnsi="仿宋_GB2312" w:eastAsia="仿宋_GB2312" w:cs="仿宋_GB2312"/>
          <w:color w:val="auto"/>
          <w:sz w:val="28"/>
          <w:szCs w:val="28"/>
        </w:rPr>
        <w:t>露天临时车位费</w:t>
      </w:r>
      <w:r>
        <w:rPr>
          <w:rFonts w:hint="eastAsia" w:ascii="仿宋_GB2312" w:hAnsi="仿宋_GB2312" w:eastAsia="仿宋_GB2312" w:cs="仿宋_GB2312"/>
          <w:color w:val="auto"/>
          <w:kern w:val="2"/>
          <w:sz w:val="28"/>
          <w:szCs w:val="28"/>
        </w:rPr>
        <w:t>、</w:t>
      </w:r>
      <w:r>
        <w:rPr>
          <w:rFonts w:hint="eastAsia" w:ascii="仿宋_GB2312" w:hAnsi="仿宋_GB2312" w:eastAsia="仿宋_GB2312" w:cs="仿宋_GB2312"/>
          <w:color w:val="auto"/>
          <w:sz w:val="28"/>
          <w:szCs w:val="28"/>
        </w:rPr>
        <w:t>小区访客临时机动车辆停放费</w:t>
      </w:r>
      <w:r>
        <w:rPr>
          <w:rFonts w:hint="eastAsia" w:ascii="仿宋_GB2312" w:hAnsi="仿宋_GB2312" w:eastAsia="仿宋_GB2312" w:cs="仿宋_GB2312"/>
          <w:color w:val="auto"/>
          <w:kern w:val="2"/>
          <w:sz w:val="28"/>
          <w:szCs w:val="28"/>
        </w:rPr>
        <w:t>等。中标人应向业委会备案收益项目相关合同，同时相关收益应使用专用账户进行收缴，专户专管专用。对于所有公共收益项目禁止通过签订多份协议、另行签署物业管理协议等方式对公共收益进行任何形式的拆分，一个项目仅允许对应一份合同。</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5"/>
        <w:jc w:val="both"/>
        <w:rPr>
          <w:rFonts w:ascii="仿宋_GB2312" w:hAnsi="仿宋_GB2312" w:eastAsia="仿宋_GB2312" w:cs="仿宋_GB2312"/>
          <w:b/>
          <w:bCs/>
          <w:color w:val="auto"/>
          <w:kern w:val="2"/>
          <w:sz w:val="28"/>
          <w:szCs w:val="28"/>
        </w:rPr>
      </w:pPr>
      <w:r>
        <w:rPr>
          <w:rFonts w:hint="eastAsia" w:ascii="仿宋_GB2312" w:hAnsi="仿宋_GB2312" w:eastAsia="仿宋_GB2312" w:cs="仿宋_GB2312"/>
          <w:b/>
          <w:bCs/>
          <w:color w:val="auto"/>
          <w:kern w:val="2"/>
          <w:sz w:val="28"/>
          <w:szCs w:val="28"/>
        </w:rPr>
        <w:t>收益分配：</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5"/>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（1）所有涉及公共收益的合同必须先报业委会同意，由业委会向全体业主公示。公示期满后，全体业主确无异议的方可实施。</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（2）包括但不限于地面停车费、临时停车费用及各类广告费等利用公共场地和公共设施产生的一切收益，须按规定向全体业主公示。</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（3）公共收益分配按照中标人与全体业主3：7比例分配。中标人需要在公共收益费用收缴的次月10日前将上月收取的公共收益70%汇入业委会的专有账户。</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5"/>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业委会有权定期就中标人应向业委会支付的公共收益委托审计机构进行审计，中标人应当配合。审计结果与中标人支付金额一致的，审计费用由业委会承担并自公共收益中开支；审计结果超过中标人支付金额的，中标人除补缴差额外，还应承担审计费用。</w:t>
      </w:r>
    </w:p>
    <w:p>
      <w:pPr>
        <w:keepNext w:val="0"/>
        <w:keepLines w:val="0"/>
        <w:pageBreakBefore w:val="0"/>
        <w:widowControl w:val="0"/>
        <w:wordWrap/>
        <w:overflowPunct/>
        <w:topLinePunct w:val="0"/>
        <w:bidi w:val="0"/>
        <w:adjustRightInd w:val="0"/>
        <w:snapToGrid w:val="0"/>
        <w:spacing w:line="360" w:lineRule="auto"/>
        <w:ind w:firstLine="562" w:firstLineChars="200"/>
        <w:textAlignment w:val="baseline"/>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五、 物业服务委托合同：</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1.本次物业选聘执行的物业管理委托合同以江苏省住建厅和江苏省市场监督管理局联合印发的《江苏省住宅物业管理委托合同》示范文本为基准，业委会与中标企业可以就部分条款进行协商和修订。业主可以自行通过省市场监督局或省住建厅网站查询合同文本。</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2.根据《民法典》第二百七十八条之规定：业主共同决定本次业主大会所需表决事项，应当由专有部分面积占比三分之二以上的业主且人数占比三分之二以上的业主参与表决，经参与表决专有部分面积过半数的业主且参与表决人数过半数的业主同意，方可最终确定为中标企业，由业委会与其签订物业服务合同。</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3.业委会与中标企业签订物业服务委托合同后，在小区公告栏向全体业主进行合同公示。</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4.选聘文件中的各项指标要求、中标企业的标书、投标承诺等文件材料将成为物业服务合同的组成部分，与物业服务合同内容具有同等法律效力。</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5.业主委员会与中标企业若需要对物业服务合同内容进行补充，可以签订补充协议，补充协议与物业服务合同具有同等法律效力。</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6.物业服务合同中需约定业主定期对物业服务满意度开展调查，由业委会组织实施，每年一至两次。</w:t>
      </w:r>
    </w:p>
    <w:p>
      <w:pPr>
        <w:keepNext w:val="0"/>
        <w:keepLines w:val="0"/>
        <w:pageBreakBefore w:val="0"/>
        <w:widowControl w:val="0"/>
        <w:wordWrap/>
        <w:overflowPunct/>
        <w:topLinePunct w:val="0"/>
        <w:bidi w:val="0"/>
        <w:adjustRightInd w:val="0"/>
        <w:snapToGrid w:val="0"/>
        <w:spacing w:line="360" w:lineRule="auto"/>
        <w:ind w:firstLine="562" w:firstLineChars="200"/>
        <w:textAlignment w:val="baseline"/>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六、 遴选潜在投标企业资格要求：</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1.企业营业要求：具有独立企业法人资格并具备物业资质、企业设立3-5年以上，不限注册地。</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2.企业财务要求：财务状况良好，近三年未出现亏损，有足够的财力承担本项目的实施。（提供近三年财务审计报告、财务报表、银行征信报告）；</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3.业绩要求：具有服务过单个面积达10万平方米及以上物业类似业态全委项目（需提供合同原件备查），并提供服务中以及曾经服务过的全部住宅项目清单。</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4.企业信誉要求：投标企业自单位开办以来未被列入“信用中国”网站(www.creditchina.gov.cn)“严重违法失信企业名单”；</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5.拟任项目负责人要求：投标企业拟派项目经理（需三年以上的住宅小区项目经理工作经验）、秩序负责人、工程负责人、消防监控人员在本企业连续缴纳6个月及以上社保、持有相关岗位证书、企业拟任职本项目证明资料。</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6.投标企业禁止将本项目物业管理事项整体外包、分包、转包给他人（如有部分分包项目，需提前与业委会报备，在经业委会的同意后方能施行，保洁服务工作严禁外包），电梯、消防等检测、维保除外。</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7.投标企业禁止与本招标项目其他报名投标企业为同一个控股股东、实际控制人、单位负责人或法定代表人，或存在控股、参股、关联关系等；其中，关联关系是指：一方控制、共同控制另一方或对另一方施加重大影响，以及两方或两方以上同受一方控制、共同控制或重大影响的。</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8. 无违法违规行为及不良信用记录（无侵占小区维修基金或小区物业公共收益，擅自退出小区管理区域，无故占用、置换和私自出租物业用房，不移交物业资料等），由竞聘人在《承诺函》中作出声明。</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9. 物业服务企业报名时需缴纳30万元投标保证金（可以现金、支票形式），中标后7日内再缴纳20万元作为履约保证金（可以现金、支票形式），30万元投标保证金自动转为履约保证金，合计 50万元履约保证金。未中标企业投标保证金在评选工作结束7日内无息返还；中标企业履约保证金在物业服务合同到期后视服务质量无息返还。原物业服务企业参加报名的，需提交书面承诺：如未中标的，则保证在物业选聘结果公告发布之日起 30 天内全面办理物业管理移交手续；逾期未办理移交手续的，同意不予退还投标保证金，以弥补本小区业主的损失。</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56"/>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10．如中标物业</w:t>
      </w:r>
      <w:r>
        <w:rPr>
          <w:rFonts w:hint="eastAsia" w:ascii="仿宋_GB2312" w:hAnsi="仿宋_GB2312" w:eastAsia="仿宋_GB2312" w:cs="仿宋_GB2312"/>
          <w:color w:val="auto"/>
          <w:kern w:val="2"/>
          <w:sz w:val="28"/>
          <w:szCs w:val="28"/>
          <w:lang w:val="en-US" w:eastAsia="zh-CN" w:bidi="ar-SA"/>
        </w:rPr>
        <w:t>服务企业逾期未向甲方支付足额履约保证金，则视为放弃中标，同意不予退还投标保证金，以弥补本小区业主的损失。</w:t>
      </w:r>
    </w:p>
    <w:p>
      <w:pPr>
        <w:keepNext w:val="0"/>
        <w:keepLines w:val="0"/>
        <w:pageBreakBefore w:val="0"/>
        <w:widowControl w:val="0"/>
        <w:tabs>
          <w:tab w:val="left" w:pos="1350"/>
        </w:tabs>
        <w:wordWrap/>
        <w:overflowPunct/>
        <w:topLinePunct w:val="0"/>
        <w:autoSpaceDE w:val="0"/>
        <w:autoSpaceDN w:val="0"/>
        <w:bidi w:val="0"/>
        <w:adjustRightInd w:val="0"/>
        <w:snapToGrid w:val="0"/>
        <w:spacing w:line="360" w:lineRule="auto"/>
        <w:ind w:left="560"/>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七、本小区拟完成改造项目：</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投标物业服务企业需对以下维修整改项目出具改造方案、预算费用及实施时间（暂定第1至8项为竞聘物业企业必需承诺改造内容，如竞聘物业企业对第1至8项未做实质性响应，评选时直接视为无效投标）；9至12项为选改造项目，竞聘物业企业如愿意改造，评选时可作为加分项。 </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1.南、北门岗车库路面更新改造，人车分流的管理改造；</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2.小区内绿化重新景观布局、各单元门口绿化改造；</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非机动车停放区域改造，</w:t>
      </w:r>
      <w:r>
        <w:rPr>
          <w:rFonts w:ascii="仿宋_GB2312" w:hAnsi="仿宋_GB2312" w:eastAsia="仿宋_GB2312" w:cs="仿宋_GB2312"/>
          <w:color w:val="auto"/>
          <w:sz w:val="28"/>
          <w:szCs w:val="28"/>
        </w:rPr>
        <w:t>电瓶车改成地面停放，要有充电设备，有顶棚能遮风挡雨。</w:t>
      </w:r>
    </w:p>
    <w:p>
      <w:pPr>
        <w:keepNext w:val="0"/>
        <w:keepLines w:val="0"/>
        <w:pageBreakBefore w:val="0"/>
        <w:widowControl w:val="0"/>
        <w:wordWrap/>
        <w:overflowPunct/>
        <w:topLinePunct w:val="0"/>
        <w:bidi w:val="0"/>
        <w:adjustRightInd w:val="0"/>
        <w:snapToGrid w:val="0"/>
        <w:spacing w:line="360" w:lineRule="auto"/>
        <w:ind w:left="279" w:leftChars="133" w:firstLine="280" w:firstLineChars="1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各单元大厅墙面、顶棚维修、大厅进出口地面改造、各楼层电梯门厅等公共部位墙面、顶棚涂料修复；</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5.地下车库灯光照明改造，目前车库能见度很低，开车视野受影响；</w:t>
      </w:r>
      <w:r>
        <w:rPr>
          <w:rFonts w:ascii="仿宋_GB2312" w:hAnsi="仿宋_GB2312" w:eastAsia="仿宋_GB2312" w:cs="仿宋_GB2312"/>
          <w:color w:val="auto"/>
          <w:sz w:val="28"/>
          <w:szCs w:val="28"/>
        </w:rPr>
        <w:t xml:space="preserve"> </w:t>
      </w:r>
    </w:p>
    <w:p>
      <w:pPr>
        <w:keepNext w:val="0"/>
        <w:keepLines w:val="0"/>
        <w:pageBreakBefore w:val="0"/>
        <w:widowControl w:val="0"/>
        <w:wordWrap/>
        <w:overflowPunct/>
        <w:topLinePunct w:val="0"/>
        <w:bidi w:val="0"/>
        <w:adjustRightInd w:val="0"/>
        <w:snapToGrid w:val="0"/>
        <w:spacing w:line="360" w:lineRule="auto"/>
        <w:ind w:left="279" w:leftChars="133" w:firstLine="280" w:firstLineChars="1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 小区内部道路砖面破损维修、公共部位地沟盖板 维修、更换；</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 安防系统升级改造（包括小区单元入户门口增加摄像头、大门口电子围栏维护改造以及高空高清摄像头、抛物摄像头更新）；</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 南北小区增加业主娱乐休闲活动场所，儿童乐园改造；</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 店铺门口道路改造，地面车位区域增加停车收费系统；</w:t>
      </w:r>
    </w:p>
    <w:p>
      <w:pPr>
        <w:keepNext w:val="0"/>
        <w:keepLines w:val="0"/>
        <w:pageBreakBefore w:val="0"/>
        <w:widowControl w:val="0"/>
        <w:wordWrap/>
        <w:overflowPunct/>
        <w:topLinePunct w:val="0"/>
        <w:bidi w:val="0"/>
        <w:adjustRightInd w:val="0"/>
        <w:snapToGrid w:val="0"/>
        <w:spacing w:line="360" w:lineRule="auto"/>
        <w:ind w:left="279" w:leftChars="133" w:firstLine="280" w:firstLineChars="1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 露天泳池正常使用和日常维护；</w:t>
      </w:r>
    </w:p>
    <w:p>
      <w:pPr>
        <w:keepNext w:val="0"/>
        <w:keepLines w:val="0"/>
        <w:pageBreakBefore w:val="0"/>
        <w:widowControl w:val="0"/>
        <w:wordWrap/>
        <w:overflowPunct/>
        <w:topLinePunct w:val="0"/>
        <w:bidi w:val="0"/>
        <w:adjustRightInd w:val="0"/>
        <w:snapToGrid w:val="0"/>
        <w:spacing w:line="360" w:lineRule="auto"/>
        <w:ind w:left="279" w:leftChars="133" w:firstLine="280" w:firstLineChars="1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 增加点信息化管理方式，比如访客平台、智能报修（上报、进展、评价）</w:t>
      </w:r>
    </w:p>
    <w:p>
      <w:pPr>
        <w:keepNext w:val="0"/>
        <w:keepLines w:val="0"/>
        <w:pageBreakBefore w:val="0"/>
        <w:widowControl w:val="0"/>
        <w:wordWrap/>
        <w:overflowPunct/>
        <w:topLinePunct w:val="0"/>
        <w:bidi w:val="0"/>
        <w:adjustRightInd w:val="0"/>
        <w:snapToGrid w:val="0"/>
        <w:spacing w:line="360" w:lineRule="auto"/>
        <w:ind w:left="279" w:leftChars="133" w:firstLine="280" w:firstLineChars="1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12.其他（如物业公司愿意承担其他维修项目可以自行添加并出施工方案，评委会评选时可作为加分项）</w:t>
      </w:r>
    </w:p>
    <w:p>
      <w:pPr>
        <w:pStyle w:val="2"/>
        <w:keepNext w:val="0"/>
        <w:keepLines w:val="0"/>
        <w:pageBreakBefore w:val="0"/>
        <w:widowControl w:val="0"/>
        <w:wordWrap/>
        <w:overflowPunct/>
        <w:topLinePunct w:val="0"/>
        <w:bidi w:val="0"/>
        <w:adjustRightInd w:val="0"/>
        <w:snapToGrid w:val="0"/>
        <w:spacing w:line="360" w:lineRule="auto"/>
        <w:ind w:firstLineChars="0"/>
        <w:rPr>
          <w:rFonts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以上拟完成改造项目可申请维修基金的，优先申请维修基金进行改造。竞聘物业公司对黄山华都所有承诺维修整改项目明确维修的详细清单及主材设备规格型号并明确完工时间；由业委会、单元代表、热心业主组织验收。如未完成或验收不合格，业委会有权启用履约保证金进行维修和改造。</w:t>
      </w:r>
    </w:p>
    <w:p>
      <w:pPr>
        <w:keepNext w:val="0"/>
        <w:keepLines w:val="0"/>
        <w:pageBreakBefore w:val="0"/>
        <w:widowControl w:val="0"/>
        <w:wordWrap/>
        <w:overflowPunct/>
        <w:topLinePunct w:val="0"/>
        <w:bidi w:val="0"/>
        <w:adjustRightInd w:val="0"/>
        <w:snapToGrid w:val="0"/>
        <w:spacing w:line="360" w:lineRule="auto"/>
        <w:ind w:firstLine="562" w:firstLineChars="200"/>
        <w:textAlignment w:val="baseline"/>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八、评选方式：</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1.本次选聘遵循公开透明、公平竞争、公正合理、诚实信用、科学择优的原则。</w:t>
      </w:r>
    </w:p>
    <w:p>
      <w:pPr>
        <w:pStyle w:val="8"/>
        <w:keepNext w:val="0"/>
        <w:keepLines w:val="0"/>
        <w:pageBreakBefore w:val="0"/>
        <w:widowControl w:val="0"/>
        <w:shd w:val="clear" w:color="auto" w:fill="FFFFFF"/>
        <w:kinsoku w:val="0"/>
        <w:wordWrap/>
        <w:overflowPunct/>
        <w:topLinePunct w:val="0"/>
        <w:autoSpaceDE w:val="0"/>
        <w:autoSpaceDN w:val="0"/>
        <w:bidi w:val="0"/>
        <w:adjustRightInd w:val="0"/>
        <w:snapToGrid w:val="0"/>
        <w:spacing w:line="360" w:lineRule="auto"/>
        <w:ind w:firstLine="560" w:firstLineChars="200"/>
        <w:jc w:val="both"/>
        <w:rPr>
          <w:rFonts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rPr>
        <w:t>2.本小区物业管理选聘项目评选组的组成如下：由业委会成员代表8名与各单元业主代表17名共同组成并邀请社区、澄江街道物管科工作人员现场监督。</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评审方式采用票选制，评审组成员从商务方案、技术方案、拟改造项目方案和陈述答辩四个方面对竞聘企业开展考察。结束后，由每位成员向评审组推荐3家候选企业（不得重复推荐，也不得少于3家），评审组依据得票数量的排名顺序确定3家企业入围。若发生并列排名，则由评审组成员对并列企业进行二轮投票，票高者入围。入围企业确定后，业委会将择期召开业主大会，由全体业主进行表决。</w:t>
      </w:r>
    </w:p>
    <w:p>
      <w:pPr>
        <w:pStyle w:val="2"/>
        <w:keepNext w:val="0"/>
        <w:keepLines w:val="0"/>
        <w:pageBreakBefore w:val="0"/>
        <w:widowControl w:val="0"/>
        <w:wordWrap/>
        <w:overflowPunct/>
        <w:topLinePunct w:val="0"/>
        <w:bidi w:val="0"/>
        <w:adjustRightInd w:val="0"/>
        <w:snapToGrid w:val="0"/>
        <w:spacing w:line="360" w:lineRule="auto"/>
        <w:ind w:firstLine="560"/>
        <w:rPr>
          <w:rFonts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4.评审组成员所推荐的企业名单，将向业主公示，接受业主监督。选聘过程中如发现竞聘物业公司之间或与业委会成员、业主代表有相互串通、不正当竞争行为的，一经核实直接取消其竞聘资格并可没收其投标保证金。</w:t>
      </w:r>
    </w:p>
    <w:p>
      <w:pPr>
        <w:keepNext w:val="0"/>
        <w:keepLines w:val="0"/>
        <w:pageBreakBefore w:val="0"/>
        <w:widowControl w:val="0"/>
        <w:wordWrap/>
        <w:overflowPunct/>
        <w:topLinePunct w:val="0"/>
        <w:bidi w:val="0"/>
        <w:adjustRightInd w:val="0"/>
        <w:snapToGrid w:val="0"/>
        <w:spacing w:line="360" w:lineRule="auto"/>
        <w:ind w:firstLine="562" w:firstLineChars="200"/>
        <w:textAlignment w:val="baseline"/>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九、选聘流程</w:t>
      </w:r>
    </w:p>
    <w:p>
      <w:pPr>
        <w:keepNext w:val="0"/>
        <w:keepLines w:val="0"/>
        <w:pageBreakBefore w:val="0"/>
        <w:widowControl w:val="0"/>
        <w:wordWrap/>
        <w:overflowPunct/>
        <w:topLinePunct w:val="0"/>
        <w:bidi w:val="0"/>
        <w:adjustRightInd w:val="0"/>
        <w:snapToGrid w:val="0"/>
        <w:spacing w:line="360" w:lineRule="auto"/>
        <w:ind w:firstLine="560" w:firstLineChars="200"/>
        <w:textAlignment w:val="baseline"/>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黄山华都选聘新物业服务企业具体流程如下（具体时间节点根据实际进程调整）</w:t>
      </w:r>
    </w:p>
    <w:p>
      <w:pPr>
        <w:keepNext w:val="0"/>
        <w:keepLines w:val="0"/>
        <w:pageBreakBefore w:val="0"/>
        <w:widowControl w:val="0"/>
        <w:wordWrap/>
        <w:overflowPunct/>
        <w:topLinePunct w:val="0"/>
        <w:bidi w:val="0"/>
        <w:adjustRightInd w:val="0"/>
        <w:snapToGrid w:val="0"/>
        <w:spacing w:line="360" w:lineRule="auto"/>
        <w:ind w:firstLine="562" w:firstLineChars="200"/>
        <w:textAlignment w:val="baseline"/>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选聘方案制订、选聘方案业主意见征集、结果公示、选聘公告制定、业主委员会审核</w:t>
      </w:r>
      <w:r>
        <w:rPr>
          <w:rFonts w:hint="eastAsia" w:ascii="仿宋_GB2312" w:hAnsi="仿宋_GB2312" w:eastAsia="仿宋_GB2312" w:cs="仿宋_GB2312"/>
          <w:b/>
          <w:bCs/>
          <w:color w:val="auto"/>
          <w:spacing w:val="7"/>
          <w:sz w:val="28"/>
          <w:szCs w:val="28"/>
          <w:shd w:val="clear" w:color="auto" w:fill="FFFFFF"/>
        </w:rPr>
        <w:t>、</w:t>
      </w:r>
      <w:r>
        <w:rPr>
          <w:rFonts w:hint="eastAsia" w:ascii="仿宋_GB2312" w:hAnsi="仿宋_GB2312" w:eastAsia="仿宋_GB2312" w:cs="仿宋_GB2312"/>
          <w:b/>
          <w:bCs/>
          <w:color w:val="auto"/>
          <w:sz w:val="28"/>
          <w:szCs w:val="28"/>
        </w:rPr>
        <w:t>发布选聘公告</w:t>
      </w:r>
      <w:r>
        <w:rPr>
          <w:rFonts w:hint="eastAsia" w:ascii="仿宋_GB2312" w:hAnsi="仿宋_GB2312" w:eastAsia="仿宋_GB2312" w:cs="仿宋_GB2312"/>
          <w:b/>
          <w:bCs/>
          <w:color w:val="auto"/>
          <w:spacing w:val="7"/>
          <w:sz w:val="28"/>
          <w:szCs w:val="28"/>
          <w:shd w:val="clear" w:color="auto" w:fill="FFFFFF"/>
        </w:rPr>
        <w:t>、</w:t>
      </w:r>
      <w:r>
        <w:rPr>
          <w:rFonts w:hint="eastAsia" w:ascii="仿宋_GB2312" w:hAnsi="仿宋_GB2312" w:eastAsia="仿宋_GB2312" w:cs="仿宋_GB2312"/>
          <w:b/>
          <w:bCs/>
          <w:color w:val="auto"/>
          <w:sz w:val="28"/>
          <w:szCs w:val="28"/>
        </w:rPr>
        <w:t>物业企业报名</w:t>
      </w:r>
      <w:r>
        <w:rPr>
          <w:rFonts w:hint="eastAsia" w:ascii="仿宋_GB2312" w:hAnsi="仿宋_GB2312" w:eastAsia="仿宋_GB2312" w:cs="仿宋_GB2312"/>
          <w:b/>
          <w:bCs/>
          <w:color w:val="auto"/>
          <w:spacing w:val="7"/>
          <w:sz w:val="28"/>
          <w:szCs w:val="28"/>
          <w:shd w:val="clear" w:color="auto" w:fill="FFFFFF"/>
        </w:rPr>
        <w:t>、评选、中标候选人名单公示、业主大会公告、</w:t>
      </w:r>
      <w:r>
        <w:rPr>
          <w:rFonts w:hint="eastAsia" w:ascii="仿宋_GB2312" w:hAnsi="仿宋_GB2312" w:eastAsia="仿宋_GB2312" w:cs="仿宋_GB2312"/>
          <w:b/>
          <w:bCs/>
          <w:color w:val="auto"/>
          <w:sz w:val="28"/>
          <w:szCs w:val="28"/>
        </w:rPr>
        <w:t>业主投票</w:t>
      </w:r>
      <w:r>
        <w:rPr>
          <w:rFonts w:hint="eastAsia" w:ascii="仿宋_GB2312" w:hAnsi="仿宋_GB2312" w:eastAsia="仿宋_GB2312" w:cs="仿宋_GB2312"/>
          <w:b/>
          <w:bCs/>
          <w:color w:val="auto"/>
          <w:spacing w:val="7"/>
          <w:sz w:val="28"/>
          <w:szCs w:val="28"/>
          <w:shd w:val="clear" w:color="auto" w:fill="FFFFFF"/>
        </w:rPr>
        <w:t>、</w:t>
      </w:r>
      <w:r>
        <w:rPr>
          <w:rFonts w:hint="eastAsia" w:ascii="仿宋_GB2312" w:hAnsi="仿宋_GB2312" w:eastAsia="仿宋_GB2312" w:cs="仿宋_GB2312"/>
          <w:b/>
          <w:bCs/>
          <w:color w:val="auto"/>
          <w:sz w:val="28"/>
          <w:szCs w:val="28"/>
        </w:rPr>
        <w:t>结果公示</w:t>
      </w:r>
      <w:r>
        <w:rPr>
          <w:rFonts w:hint="eastAsia" w:ascii="仿宋_GB2312" w:hAnsi="仿宋_GB2312" w:eastAsia="仿宋_GB2312" w:cs="仿宋_GB2312"/>
          <w:b/>
          <w:bCs/>
          <w:color w:val="auto"/>
          <w:spacing w:val="7"/>
          <w:sz w:val="28"/>
          <w:szCs w:val="28"/>
          <w:shd w:val="clear" w:color="auto" w:fill="FFFFFF"/>
        </w:rPr>
        <w:t>、</w:t>
      </w:r>
      <w:r>
        <w:rPr>
          <w:rFonts w:hint="eastAsia" w:ascii="仿宋_GB2312" w:hAnsi="仿宋_GB2312" w:eastAsia="仿宋_GB2312" w:cs="仿宋_GB2312"/>
          <w:b/>
          <w:bCs/>
          <w:color w:val="auto"/>
          <w:sz w:val="28"/>
          <w:szCs w:val="28"/>
        </w:rPr>
        <w:t>合同签订</w:t>
      </w:r>
      <w:r>
        <w:rPr>
          <w:rFonts w:hint="eastAsia" w:ascii="仿宋_GB2312" w:hAnsi="仿宋_GB2312" w:eastAsia="仿宋_GB2312" w:cs="仿宋_GB2312"/>
          <w:b/>
          <w:bCs/>
          <w:color w:val="auto"/>
          <w:spacing w:val="7"/>
          <w:sz w:val="28"/>
          <w:szCs w:val="28"/>
          <w:shd w:val="clear" w:color="auto" w:fill="FFFFFF"/>
        </w:rPr>
        <w:t>、</w:t>
      </w:r>
      <w:r>
        <w:rPr>
          <w:rFonts w:hint="eastAsia" w:ascii="仿宋_GB2312" w:hAnsi="仿宋_GB2312" w:eastAsia="仿宋_GB2312" w:cs="仿宋_GB2312"/>
          <w:b/>
          <w:bCs/>
          <w:color w:val="auto"/>
          <w:sz w:val="28"/>
          <w:szCs w:val="28"/>
        </w:rPr>
        <w:t>物业交接。</w:t>
      </w:r>
    </w:p>
    <w:p>
      <w:pPr>
        <w:pStyle w:val="2"/>
        <w:keepNext w:val="0"/>
        <w:keepLines w:val="0"/>
        <w:pageBreakBefore w:val="0"/>
        <w:widowControl w:val="0"/>
        <w:wordWrap/>
        <w:overflowPunct/>
        <w:topLinePunct w:val="0"/>
        <w:bidi w:val="0"/>
        <w:adjustRightInd w:val="0"/>
        <w:snapToGrid w:val="0"/>
        <w:rPr>
          <w:rFonts w:hint="eastAsia" w:ascii="仿宋_GB2312" w:hAnsi="仿宋_GB2312" w:eastAsia="仿宋_GB2312" w:cs="仿宋_GB2312"/>
          <w:b/>
          <w:bCs/>
          <w:color w:val="auto"/>
          <w:sz w:val="28"/>
          <w:szCs w:val="28"/>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360" w:lineRule="auto"/>
        <w:ind w:right="347"/>
        <w:jc w:val="left"/>
        <w:rPr>
          <w:rFonts w:hint="eastAsia" w:ascii="黑体" w:hAnsi="黑体" w:eastAsia="黑体" w:cs="黑体"/>
          <w:bCs/>
          <w:color w:val="auto"/>
          <w:w w:val="105"/>
          <w:sz w:val="32"/>
          <w:szCs w:val="32"/>
          <w:lang w:val="en-US" w:eastAsia="zh-CN"/>
        </w:rPr>
      </w:pPr>
    </w:p>
    <w:p>
      <w:pPr>
        <w:keepNext w:val="0"/>
        <w:keepLines w:val="0"/>
        <w:pageBreakBefore w:val="0"/>
        <w:widowControl w:val="0"/>
        <w:wordWrap/>
        <w:overflowPunct/>
        <w:topLinePunct w:val="0"/>
        <w:bidi w:val="0"/>
        <w:adjustRightInd w:val="0"/>
        <w:snapToGrid w:val="0"/>
        <w:spacing w:before="35" w:line="240" w:lineRule="auto"/>
        <w:ind w:right="347"/>
        <w:jc w:val="left"/>
        <w:rPr>
          <w:rFonts w:hint="eastAsia" w:ascii="黑体" w:hAnsi="黑体" w:eastAsia="黑体" w:cs="黑体"/>
          <w:bCs/>
          <w:color w:val="auto"/>
          <w:w w:val="105"/>
          <w:sz w:val="32"/>
          <w:szCs w:val="32"/>
          <w:lang w:val="en-US" w:eastAsia="zh-CN"/>
        </w:rPr>
      </w:pPr>
      <w:r>
        <w:rPr>
          <w:rFonts w:hint="eastAsia" w:ascii="黑体" w:hAnsi="黑体" w:eastAsia="黑体" w:cs="黑体"/>
          <w:bCs/>
          <w:color w:val="auto"/>
          <w:w w:val="105"/>
          <w:sz w:val="32"/>
          <w:szCs w:val="32"/>
          <w:lang w:val="en-US" w:eastAsia="zh-CN"/>
        </w:rPr>
        <w:t>附件2</w:t>
      </w:r>
    </w:p>
    <w:p>
      <w:pPr>
        <w:keepNext w:val="0"/>
        <w:keepLines w:val="0"/>
        <w:pageBreakBefore w:val="0"/>
        <w:widowControl w:val="0"/>
        <w:wordWrap/>
        <w:overflowPunct/>
        <w:topLinePunct w:val="0"/>
        <w:bidi w:val="0"/>
        <w:adjustRightInd w:val="0"/>
        <w:snapToGrid w:val="0"/>
        <w:jc w:val="center"/>
        <w:rPr>
          <w:rFonts w:hint="eastAsia" w:ascii="方正黑体_GBK" w:hAnsi="方正黑体_GBK" w:eastAsia="方正黑体_GBK" w:cs="方正黑体_GBK"/>
          <w:b w:val="0"/>
          <w:bCs/>
          <w:color w:val="auto"/>
          <w:sz w:val="44"/>
          <w:szCs w:val="44"/>
          <w:lang w:val="en-US" w:eastAsia="zh-CN"/>
        </w:rPr>
      </w:pPr>
      <w:r>
        <w:rPr>
          <w:rFonts w:hint="eastAsia" w:ascii="方正黑体_GBK" w:hAnsi="方正黑体_GBK" w:eastAsia="方正黑体_GBK" w:cs="方正黑体_GBK"/>
          <w:b w:val="0"/>
          <w:bCs/>
          <w:color w:val="auto"/>
          <w:sz w:val="44"/>
          <w:szCs w:val="44"/>
          <w:lang w:val="en-US" w:eastAsia="zh-CN"/>
        </w:rPr>
        <w:t>竞 聘 指 引</w:t>
      </w:r>
    </w:p>
    <w:p>
      <w:pPr>
        <w:keepNext w:val="0"/>
        <w:keepLines w:val="0"/>
        <w:pageBreakBefore w:val="0"/>
        <w:widowControl w:val="0"/>
        <w:wordWrap/>
        <w:overflowPunct/>
        <w:topLinePunct w:val="0"/>
        <w:bidi w:val="0"/>
        <w:adjustRightInd w:val="0"/>
        <w:snapToGrid w:val="0"/>
        <w:jc w:val="left"/>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致竞聘意向企业：</w:t>
      </w:r>
    </w:p>
    <w:p>
      <w:pPr>
        <w:keepNext w:val="0"/>
        <w:keepLines w:val="0"/>
        <w:pageBreakBefore w:val="0"/>
        <w:widowControl w:val="0"/>
        <w:numPr>
          <w:ilvl w:val="0"/>
          <w:numId w:val="0"/>
        </w:numPr>
        <w:wordWrap/>
        <w:overflowPunct/>
        <w:topLinePunct w:val="0"/>
        <w:bidi w:val="0"/>
        <w:adjustRightInd w:val="0"/>
        <w:snapToGrid w:val="0"/>
        <w:jc w:val="left"/>
        <w:rPr>
          <w:rFonts w:hint="eastAsia" w:ascii="方正仿宋_GBK" w:hAnsi="方正仿宋_GBK" w:eastAsia="方正仿宋_GBK" w:cs="方正仿宋_GBK"/>
          <w:b w:val="0"/>
          <w:bCs w:val="0"/>
          <w:color w:val="auto"/>
          <w:sz w:val="28"/>
          <w:szCs w:val="28"/>
          <w:lang w:val="en-US" w:eastAsia="zh-CN" w:bidi="ar-SA"/>
        </w:rPr>
      </w:pPr>
      <w:r>
        <w:rPr>
          <w:rFonts w:hint="eastAsia" w:ascii="方正仿宋_GBK" w:hAnsi="方正仿宋_GBK" w:eastAsia="方正仿宋_GBK" w:cs="方正仿宋_GBK"/>
          <w:b w:val="0"/>
          <w:bCs/>
          <w:color w:val="auto"/>
          <w:sz w:val="28"/>
          <w:szCs w:val="28"/>
          <w:lang w:val="en-US" w:eastAsia="zh-CN"/>
        </w:rPr>
        <w:t>一、企业根据《江阴市黄山华都选聘新物业服务企业方案》的要求提交材料，</w:t>
      </w:r>
      <w:r>
        <w:rPr>
          <w:rFonts w:hint="eastAsia" w:ascii="方正仿宋_GBK" w:hAnsi="方正仿宋_GBK" w:eastAsia="方正仿宋_GBK" w:cs="方正仿宋_GBK"/>
          <w:b/>
          <w:bCs w:val="0"/>
          <w:color w:val="auto"/>
          <w:sz w:val="28"/>
          <w:szCs w:val="28"/>
          <w:lang w:val="en-US" w:eastAsia="zh-CN"/>
        </w:rPr>
        <w:t>无法提供或不便提供的项目可以书面说明。</w:t>
      </w:r>
      <w:r>
        <w:rPr>
          <w:rFonts w:hint="eastAsia" w:ascii="方正仿宋_GBK" w:hAnsi="方正仿宋_GBK" w:eastAsia="方正仿宋_GBK" w:cs="方正仿宋_GBK"/>
          <w:b/>
          <w:bCs w:val="0"/>
          <w:color w:val="auto"/>
          <w:sz w:val="28"/>
          <w:szCs w:val="28"/>
          <w:lang w:val="en-US" w:eastAsia="zh-CN" w:bidi="ar-SA"/>
        </w:rPr>
        <w:t>如涉及重大机密事项，请予以特别注明。</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rPr>
          <w:rFonts w:hint="eastAsia" w:ascii="方正仿宋_GBK" w:hAnsi="方正仿宋_GBK" w:eastAsia="方正仿宋_GBK" w:cs="方正仿宋_GBK"/>
          <w:color w:val="auto"/>
          <w:sz w:val="28"/>
          <w:szCs w:val="21"/>
        </w:rPr>
      </w:pPr>
      <w:bookmarkStart w:id="0" w:name="_Toc12138_WPSOffice_Level1"/>
      <w:r>
        <w:rPr>
          <w:rFonts w:hint="eastAsia" w:ascii="方正仿宋_GBK" w:hAnsi="方正仿宋_GBK" w:eastAsia="方正仿宋_GBK" w:cs="方正仿宋_GBK"/>
          <w:color w:val="auto"/>
          <w:sz w:val="28"/>
          <w:szCs w:val="21"/>
        </w:rPr>
        <w:t>1、工商档案及相关文件</w:t>
      </w:r>
      <w:bookmarkEnd w:id="0"/>
    </w:p>
    <w:p>
      <w:pPr>
        <w:pStyle w:val="22"/>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1.1 </w:t>
      </w:r>
      <w:r>
        <w:rPr>
          <w:rFonts w:hint="eastAsia" w:ascii="方正仿宋_GBK" w:hAnsi="方正仿宋_GBK" w:eastAsia="方正仿宋_GBK" w:cs="方正仿宋_GBK"/>
          <w:color w:val="auto"/>
          <w:sz w:val="28"/>
          <w:szCs w:val="28"/>
          <w:lang w:val="en-US" w:eastAsia="zh-CN"/>
        </w:rPr>
        <w:t>营业执照正副本，分公司参与竞聘的，同时提供总公司证照。</w:t>
      </w:r>
    </w:p>
    <w:p>
      <w:pPr>
        <w:pStyle w:val="22"/>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en-US" w:eastAsia="zh-CN"/>
        </w:rPr>
        <w:t>企业</w:t>
      </w:r>
      <w:r>
        <w:rPr>
          <w:rFonts w:hint="eastAsia" w:ascii="方正仿宋_GBK" w:hAnsi="方正仿宋_GBK" w:eastAsia="方正仿宋_GBK" w:cs="方正仿宋_GBK"/>
          <w:color w:val="auto"/>
          <w:sz w:val="28"/>
          <w:szCs w:val="28"/>
        </w:rPr>
        <w:t>的各项管理制度。</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rPr>
          <w:rFonts w:hint="eastAsia" w:ascii="方正仿宋_GBK" w:hAnsi="方正仿宋_GBK" w:eastAsia="方正仿宋_GBK" w:cs="方正仿宋_GBK"/>
          <w:color w:val="auto"/>
          <w:sz w:val="28"/>
          <w:szCs w:val="21"/>
        </w:rPr>
      </w:pPr>
      <w:bookmarkStart w:id="1" w:name="_Toc10162_WPSOffice_Level1"/>
      <w:r>
        <w:rPr>
          <w:rFonts w:hint="eastAsia" w:ascii="方正仿宋_GBK" w:hAnsi="方正仿宋_GBK" w:eastAsia="方正仿宋_GBK" w:cs="方正仿宋_GBK"/>
          <w:color w:val="auto"/>
          <w:sz w:val="28"/>
          <w:szCs w:val="21"/>
        </w:rPr>
        <w:t>2、</w:t>
      </w:r>
      <w:bookmarkEnd w:id="1"/>
      <w:r>
        <w:rPr>
          <w:rFonts w:hint="eastAsia" w:ascii="方正仿宋_GBK" w:hAnsi="方正仿宋_GBK" w:eastAsia="方正仿宋_GBK" w:cs="方正仿宋_GBK"/>
          <w:color w:val="auto"/>
          <w:sz w:val="28"/>
          <w:szCs w:val="21"/>
          <w:lang w:val="en-US" w:eastAsia="zh-CN"/>
        </w:rPr>
        <w:t>关联关系</w:t>
      </w:r>
    </w:p>
    <w:p>
      <w:pPr>
        <w:pStyle w:val="22"/>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2.1 </w:t>
      </w:r>
      <w:r>
        <w:rPr>
          <w:rFonts w:hint="eastAsia" w:ascii="方正仿宋_GBK" w:hAnsi="方正仿宋_GBK" w:eastAsia="方正仿宋_GBK" w:cs="方正仿宋_GBK"/>
          <w:color w:val="auto"/>
          <w:sz w:val="28"/>
          <w:szCs w:val="28"/>
          <w:lang w:val="en-US" w:eastAsia="zh-CN"/>
        </w:rPr>
        <w:t>企业控股或参与投资的物业服务类企业名单</w:t>
      </w:r>
      <w:r>
        <w:rPr>
          <w:rFonts w:hint="eastAsia" w:ascii="方正仿宋_GBK" w:hAnsi="方正仿宋_GBK" w:eastAsia="方正仿宋_GBK" w:cs="方正仿宋_GBK"/>
          <w:color w:val="auto"/>
          <w:sz w:val="28"/>
          <w:szCs w:val="28"/>
        </w:rPr>
        <w:t>。</w:t>
      </w:r>
    </w:p>
    <w:p>
      <w:pPr>
        <w:pStyle w:val="22"/>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en-US" w:eastAsia="zh-CN"/>
        </w:rPr>
        <w:t>企业</w:t>
      </w:r>
      <w:r>
        <w:rPr>
          <w:rFonts w:hint="eastAsia" w:ascii="方正仿宋_GBK" w:hAnsi="方正仿宋_GBK" w:eastAsia="方正仿宋_GBK" w:cs="方正仿宋_GBK"/>
          <w:color w:val="auto"/>
          <w:sz w:val="28"/>
          <w:szCs w:val="28"/>
        </w:rPr>
        <w:t>实际控制人</w:t>
      </w:r>
      <w:r>
        <w:rPr>
          <w:rFonts w:hint="eastAsia" w:ascii="方正仿宋_GBK" w:hAnsi="方正仿宋_GBK" w:eastAsia="方正仿宋_GBK" w:cs="方正仿宋_GBK"/>
          <w:color w:val="auto"/>
          <w:sz w:val="28"/>
          <w:szCs w:val="28"/>
          <w:lang w:val="en-US" w:eastAsia="zh-CN"/>
        </w:rPr>
        <w:t>控股或投资的物业服务类企业名单</w:t>
      </w:r>
      <w:r>
        <w:rPr>
          <w:rFonts w:hint="eastAsia" w:ascii="方正仿宋_GBK" w:hAnsi="方正仿宋_GBK" w:eastAsia="方正仿宋_GBK" w:cs="方正仿宋_GBK"/>
          <w:color w:val="auto"/>
          <w:sz w:val="28"/>
          <w:szCs w:val="28"/>
        </w:rPr>
        <w:t>。</w:t>
      </w:r>
    </w:p>
    <w:p>
      <w:pPr>
        <w:pStyle w:val="22"/>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2.3 企业</w:t>
      </w:r>
      <w:r>
        <w:rPr>
          <w:rFonts w:hint="eastAsia" w:ascii="方正仿宋_GBK" w:hAnsi="方正仿宋_GBK" w:eastAsia="方正仿宋_GBK" w:cs="方正仿宋_GBK"/>
          <w:color w:val="auto"/>
          <w:sz w:val="28"/>
          <w:szCs w:val="28"/>
        </w:rPr>
        <w:t>的最新组织结构图</w:t>
      </w:r>
      <w:r>
        <w:rPr>
          <w:rFonts w:hint="eastAsia" w:ascii="方正仿宋_GBK" w:hAnsi="方正仿宋_GBK" w:eastAsia="方正仿宋_GBK" w:cs="方正仿宋_GBK"/>
          <w:color w:val="auto"/>
          <w:sz w:val="28"/>
          <w:szCs w:val="28"/>
          <w:lang w:eastAsia="zh-CN"/>
        </w:rPr>
        <w:t>。</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rPr>
          <w:rFonts w:hint="eastAsia" w:ascii="方正仿宋_GBK" w:hAnsi="方正仿宋_GBK" w:eastAsia="方正仿宋_GBK" w:cs="方正仿宋_GBK"/>
          <w:color w:val="auto"/>
          <w:sz w:val="28"/>
          <w:szCs w:val="28"/>
        </w:rPr>
      </w:pPr>
      <w:bookmarkStart w:id="2" w:name="_Toc9140_WPSOffice_Level1"/>
      <w:r>
        <w:rPr>
          <w:rFonts w:hint="eastAsia" w:ascii="方正仿宋_GBK" w:hAnsi="方正仿宋_GBK" w:eastAsia="方正仿宋_GBK" w:cs="方正仿宋_GBK"/>
          <w:color w:val="auto"/>
          <w:sz w:val="28"/>
          <w:szCs w:val="28"/>
        </w:rPr>
        <w:t>3、</w:t>
      </w:r>
      <w:bookmarkEnd w:id="2"/>
      <w:r>
        <w:rPr>
          <w:rFonts w:hint="eastAsia" w:ascii="方正仿宋_GBK" w:hAnsi="方正仿宋_GBK" w:eastAsia="方正仿宋_GBK" w:cs="方正仿宋_GBK"/>
          <w:color w:val="auto"/>
          <w:sz w:val="28"/>
          <w:szCs w:val="28"/>
          <w:lang w:val="en-US" w:eastAsia="zh-CN"/>
        </w:rPr>
        <w:t>资信情况</w:t>
      </w:r>
    </w:p>
    <w:p>
      <w:pPr>
        <w:pStyle w:val="22"/>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3.1 近三年财务审计报告、财务报表</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含现金流量表</w:t>
      </w:r>
      <w:r>
        <w:rPr>
          <w:rFonts w:hint="eastAsia" w:ascii="方正仿宋_GBK" w:hAnsi="方正仿宋_GBK" w:eastAsia="方正仿宋_GBK" w:cs="方正仿宋_GBK"/>
          <w:color w:val="auto"/>
          <w:sz w:val="28"/>
          <w:szCs w:val="28"/>
          <w:lang w:eastAsia="zh-CN"/>
        </w:rPr>
        <w:t>）。</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color w:val="auto"/>
          <w:sz w:val="28"/>
          <w:szCs w:val="28"/>
        </w:rPr>
        <w:t xml:space="preserve">3.2 </w:t>
      </w:r>
      <w:r>
        <w:rPr>
          <w:rFonts w:hint="eastAsia" w:ascii="方正仿宋_GBK" w:hAnsi="方正仿宋_GBK" w:eastAsia="方正仿宋_GBK" w:cs="方正仿宋_GBK"/>
          <w:color w:val="auto"/>
          <w:sz w:val="28"/>
          <w:szCs w:val="28"/>
          <w:lang w:val="en-US" w:eastAsia="zh-CN"/>
        </w:rPr>
        <w:t>企业人民</w:t>
      </w:r>
      <w:r>
        <w:rPr>
          <w:rFonts w:hint="eastAsia" w:ascii="方正仿宋_GBK" w:hAnsi="方正仿宋_GBK" w:eastAsia="方正仿宋_GBK" w:cs="方正仿宋_GBK"/>
          <w:color w:val="auto"/>
          <w:sz w:val="28"/>
          <w:szCs w:val="28"/>
        </w:rPr>
        <w:t>银行征信证明文件。</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 xml:space="preserve">3.3 </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信用中国”网站(https://www.creditchina.gov.cn/)</w:t>
      </w:r>
      <w:r>
        <w:rPr>
          <w:rFonts w:hint="eastAsia" w:ascii="方正仿宋_GBK" w:hAnsi="方正仿宋_GBK" w:eastAsia="方正仿宋_GBK" w:cs="方正仿宋_GBK"/>
          <w:color w:val="auto"/>
          <w:sz w:val="28"/>
          <w:szCs w:val="28"/>
          <w:lang w:val="en-US" w:eastAsia="zh-CN"/>
        </w:rPr>
        <w:t>查询界面。</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0" w:firstLineChars="0"/>
        <w:rPr>
          <w:rFonts w:hint="eastAsia" w:ascii="方正仿宋_GBK" w:hAnsi="方正仿宋_GBK" w:eastAsia="方正仿宋_GBK" w:cs="方正仿宋_GBK"/>
          <w:color w:val="auto"/>
          <w:sz w:val="28"/>
          <w:szCs w:val="21"/>
          <w:lang w:val="en-US" w:eastAsia="zh-CN"/>
        </w:rPr>
      </w:pPr>
      <w:r>
        <w:rPr>
          <w:rFonts w:hint="eastAsia" w:ascii="方正仿宋_GBK" w:hAnsi="方正仿宋_GBK" w:eastAsia="方正仿宋_GBK" w:cs="方正仿宋_GBK"/>
          <w:color w:val="auto"/>
          <w:sz w:val="28"/>
          <w:szCs w:val="21"/>
          <w:lang w:val="en-US" w:eastAsia="zh-CN"/>
        </w:rPr>
        <w:t>4、人员资历</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4.1 企业拟派项目经理履历。</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4.2 秩序负责人、工程负责人、消防监控人员在本企业连续缴纳6个月及以上社保、岗位相关证书。</w:t>
      </w:r>
    </w:p>
    <w:p>
      <w:pPr>
        <w:pStyle w:val="3"/>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rPr>
          <w:rFonts w:hint="eastAsia" w:ascii="方正仿宋_GBK" w:hAnsi="方正仿宋_GBK" w:eastAsia="方正仿宋_GBK" w:cs="方正仿宋_GBK"/>
          <w:color w:val="auto"/>
          <w:sz w:val="28"/>
          <w:szCs w:val="21"/>
        </w:rPr>
      </w:pPr>
      <w:bookmarkStart w:id="3" w:name="_Toc13577_WPSOffice_Level1"/>
      <w:r>
        <w:rPr>
          <w:rFonts w:hint="eastAsia" w:ascii="方正仿宋_GBK" w:hAnsi="方正仿宋_GBK" w:eastAsia="方正仿宋_GBK" w:cs="方正仿宋_GBK"/>
          <w:color w:val="auto"/>
          <w:sz w:val="28"/>
          <w:szCs w:val="21"/>
          <w:lang w:val="en-US" w:eastAsia="zh-CN"/>
        </w:rPr>
        <w:t>5</w:t>
      </w:r>
      <w:r>
        <w:rPr>
          <w:rFonts w:hint="eastAsia" w:ascii="方正仿宋_GBK" w:hAnsi="方正仿宋_GBK" w:eastAsia="方正仿宋_GBK" w:cs="方正仿宋_GBK"/>
          <w:color w:val="auto"/>
          <w:sz w:val="28"/>
          <w:szCs w:val="21"/>
        </w:rPr>
        <w:t>、</w:t>
      </w:r>
      <w:bookmarkEnd w:id="3"/>
      <w:r>
        <w:rPr>
          <w:rFonts w:hint="eastAsia" w:ascii="方正仿宋_GBK" w:hAnsi="方正仿宋_GBK" w:eastAsia="方正仿宋_GBK" w:cs="方正仿宋_GBK"/>
          <w:color w:val="auto"/>
          <w:sz w:val="28"/>
          <w:szCs w:val="21"/>
          <w:lang w:val="en-US" w:eastAsia="zh-CN"/>
        </w:rPr>
        <w:t>服务能力</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5</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1 100000平方米以上物业类似业态项目服务合同。</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5.2 目前服务中的住宅项目清单，备注项目所属城市。</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color w:val="auto"/>
          <w:sz w:val="28"/>
          <w:szCs w:val="28"/>
          <w:lang w:val="en-US" w:eastAsia="zh-CN"/>
        </w:rPr>
        <w:t>5.3 《方案》</w:t>
      </w:r>
      <w:r>
        <w:rPr>
          <w:rFonts w:hint="eastAsia" w:ascii="方正仿宋_GBK" w:hAnsi="方正仿宋_GBK" w:eastAsia="方正仿宋_GBK" w:cs="方正仿宋_GBK"/>
          <w:b w:val="0"/>
          <w:bCs/>
          <w:color w:val="auto"/>
          <w:sz w:val="28"/>
          <w:szCs w:val="28"/>
          <w:lang w:val="en-US" w:eastAsia="zh-CN"/>
        </w:rPr>
        <w:t>第七条1至8项实施方案（认为实施存在障碍或有更优化方式的，也可提供替代方案）。</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5.4 物业费测算方案，包括但不限于收入、人员成本（含加班费、高温补贴、残疾人保障金等）、各项支出、合理盈利。</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5.5 房屋大修基金使用计划（明确需要使用大修基金的工程种类、金额门槛）。</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5.6 外包项目清单（需要委外实施的项目，如电梯维保）。</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5.7 电梯维护保养及维修计划，包括电梯保养计划、拟合作的服务企业收费标准、维保费用承担（明确费用由业主承担、基金支出、物业服务企业承担或其他方式承担，以及承担方式）。</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5.8 《方案》要求之外，承诺向业主提供的免费增值服务。</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5.9 上半年工作计划（如何在较短时间内提高全体业主的体验感、幸福感、获得感）。</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firstLine="0" w:firstLineChars="0"/>
        <w:rPr>
          <w:rFonts w:hint="eastAsia" w:ascii="方正仿宋_GBK" w:hAnsi="方正仿宋_GBK" w:eastAsia="方正仿宋_GBK" w:cs="方正仿宋_GBK"/>
          <w:color w:val="auto"/>
          <w:sz w:val="28"/>
          <w:szCs w:val="21"/>
          <w:lang w:val="en-US" w:eastAsia="zh-CN"/>
        </w:rPr>
      </w:pPr>
      <w:r>
        <w:rPr>
          <w:rFonts w:hint="eastAsia" w:ascii="方正仿宋_GBK" w:hAnsi="方正仿宋_GBK" w:eastAsia="方正仿宋_GBK" w:cs="方正仿宋_GBK"/>
          <w:color w:val="auto"/>
          <w:sz w:val="28"/>
          <w:szCs w:val="21"/>
          <w:lang w:val="en-US" w:eastAsia="zh-CN"/>
        </w:rPr>
        <w:t>6、其他材料</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6.1 授权委托书。</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480" w:right="0" w:rightChars="0" w:firstLine="0" w:firstLineChars="0"/>
        <w:jc w:val="both"/>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6.2 其他可以证明资信优良及体现服务能力的材料。</w:t>
      </w:r>
    </w:p>
    <w:p>
      <w:pPr>
        <w:pStyle w:val="23"/>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rPr>
          <w:rFonts w:hint="eastAsia" w:ascii="方正仿宋_GBK" w:hAnsi="方正仿宋_GBK" w:eastAsia="方正仿宋_GBK" w:cs="方正仿宋_GBK"/>
          <w:b w:val="0"/>
          <w:bCs/>
          <w:color w:val="auto"/>
          <w:sz w:val="28"/>
          <w:szCs w:val="28"/>
          <w:lang w:val="en-US" w:eastAsia="zh-CN" w:bidi="ar-SA"/>
        </w:rPr>
      </w:pPr>
      <w:r>
        <w:rPr>
          <w:rFonts w:hint="eastAsia" w:ascii="方正仿宋_GBK" w:hAnsi="方正仿宋_GBK" w:eastAsia="方正仿宋_GBK" w:cs="方正仿宋_GBK"/>
          <w:b w:val="0"/>
          <w:bCs/>
          <w:color w:val="auto"/>
          <w:sz w:val="28"/>
          <w:szCs w:val="28"/>
          <w:lang w:val="en-US" w:eastAsia="zh-CN" w:bidi="ar-SA"/>
        </w:rPr>
        <w:t>二、格式要求为PDF，可以合并为一个文件，也可以打包至一个压缩包。邮件查收后三日内会发送回执，未收到邮箱回执的，请电话联系业委会负责人。经审查符合参加初选条件的，业委会将通知企业授权的工作人员。</w:t>
      </w:r>
    </w:p>
    <w:p>
      <w:pPr>
        <w:keepNext w:val="0"/>
        <w:keepLines w:val="0"/>
        <w:pageBreakBefore w:val="0"/>
        <w:widowControl w:val="0"/>
        <w:numPr>
          <w:ilvl w:val="0"/>
          <w:numId w:val="0"/>
        </w:numPr>
        <w:wordWrap/>
        <w:overflowPunct/>
        <w:topLinePunct w:val="0"/>
        <w:bidi w:val="0"/>
        <w:adjustRightInd w:val="0"/>
        <w:snapToGrid w:val="0"/>
        <w:jc w:val="left"/>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三、企业可以根据《方案》第七条的要求自行至本小区，现场考察拟更新升级的项目，需要协助的可与负责人联系。第七条1至8项为竞聘物业企业必需承诺改造的内容。</w:t>
      </w:r>
      <w:r>
        <w:rPr>
          <w:rFonts w:hint="eastAsia" w:ascii="方正仿宋_GBK" w:hAnsi="方正仿宋_GBK" w:eastAsia="方正仿宋_GBK" w:cs="方正仿宋_GBK"/>
          <w:b/>
          <w:bCs w:val="0"/>
          <w:color w:val="auto"/>
          <w:sz w:val="28"/>
          <w:szCs w:val="28"/>
          <w:lang w:val="en-US" w:eastAsia="zh-CN"/>
        </w:rPr>
        <w:t>特别提示：</w:t>
      </w:r>
      <w:r>
        <w:rPr>
          <w:rFonts w:hint="eastAsia" w:ascii="方正仿宋_GBK" w:hAnsi="方正仿宋_GBK" w:eastAsia="方正仿宋_GBK" w:cs="方正仿宋_GBK"/>
          <w:b w:val="0"/>
          <w:bCs/>
          <w:color w:val="auto"/>
          <w:sz w:val="28"/>
          <w:szCs w:val="28"/>
          <w:lang w:val="en-US" w:eastAsia="zh-CN"/>
        </w:rPr>
        <w:t>如因多数业主不同意使用维修基金或主管机关认为不属于基金支出范围或其他任何原因，中标企业在不能使用基金的情况下，仍必须落实1至8项的升级改造，并不得向业主筹款，不得要求业委会使用公共收益，改造费用由中标企业承担。</w:t>
      </w:r>
    </w:p>
    <w:p>
      <w:pPr>
        <w:keepNext w:val="0"/>
        <w:keepLines w:val="0"/>
        <w:pageBreakBefore w:val="0"/>
        <w:widowControl w:val="0"/>
        <w:numPr>
          <w:ilvl w:val="0"/>
          <w:numId w:val="0"/>
        </w:numPr>
        <w:wordWrap/>
        <w:overflowPunct/>
        <w:topLinePunct w:val="0"/>
        <w:bidi w:val="0"/>
        <w:adjustRightInd w:val="0"/>
        <w:snapToGrid w:val="0"/>
        <w:jc w:val="left"/>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四、《方案》要求以及企业为中标所作的全部承诺，属于本小区与中标企业签订《物业服务合同》的附件，具同等法律效力。</w:t>
      </w:r>
    </w:p>
    <w:p>
      <w:pPr>
        <w:keepNext w:val="0"/>
        <w:keepLines w:val="0"/>
        <w:pageBreakBefore w:val="0"/>
        <w:widowControl w:val="0"/>
        <w:numPr>
          <w:ilvl w:val="0"/>
          <w:numId w:val="0"/>
        </w:numPr>
        <w:wordWrap/>
        <w:overflowPunct/>
        <w:topLinePunct w:val="0"/>
        <w:bidi w:val="0"/>
        <w:adjustRightInd w:val="0"/>
        <w:snapToGrid w:val="0"/>
        <w:jc w:val="left"/>
        <w:rPr>
          <w:rFonts w:hint="eastAsia" w:ascii="方正仿宋_GBK" w:hAnsi="方正仿宋_GBK" w:eastAsia="方正仿宋_GBK" w:cs="方正仿宋_GBK"/>
          <w:b/>
          <w:bCs w:val="0"/>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五、《方案》第四条第3项关于人防车位及地面公共车位的出租项目系计划方案，须经产权人同意后方可实施，</w:t>
      </w:r>
      <w:r>
        <w:rPr>
          <w:rFonts w:hint="eastAsia" w:ascii="方正仿宋_GBK" w:hAnsi="方正仿宋_GBK" w:eastAsia="方正仿宋_GBK" w:cs="方正仿宋_GBK"/>
          <w:b/>
          <w:bCs w:val="0"/>
          <w:color w:val="auto"/>
          <w:sz w:val="28"/>
          <w:szCs w:val="28"/>
          <w:lang w:val="en-US" w:eastAsia="zh-CN"/>
        </w:rPr>
        <w:t>不属于本小区的承诺。</w:t>
      </w:r>
    </w:p>
    <w:p>
      <w:pPr>
        <w:keepNext w:val="0"/>
        <w:keepLines w:val="0"/>
        <w:pageBreakBefore w:val="0"/>
        <w:widowControl w:val="0"/>
        <w:numPr>
          <w:ilvl w:val="0"/>
          <w:numId w:val="0"/>
        </w:numPr>
        <w:wordWrap/>
        <w:overflowPunct/>
        <w:topLinePunct w:val="0"/>
        <w:bidi w:val="0"/>
        <w:adjustRightInd w:val="0"/>
        <w:snapToGrid w:val="0"/>
        <w:jc w:val="both"/>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六、保证金收款信息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1120" w:firstLineChars="400"/>
        <w:jc w:val="both"/>
        <w:textAlignment w:val="auto"/>
        <w:outlineLvl w:val="9"/>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收款账户名称:黄山华都业主委员会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1120" w:firstLineChars="400"/>
        <w:jc w:val="both"/>
        <w:textAlignment w:val="auto"/>
        <w:outlineLvl w:val="9"/>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银行账号:5119 0328 8410 201</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1120" w:firstLineChars="400"/>
        <w:jc w:val="both"/>
        <w:textAlignment w:val="auto"/>
        <w:outlineLvl w:val="9"/>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开户银行:招商银行股份有限公司江阴澄江支行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1120" w:firstLineChars="400"/>
        <w:jc w:val="both"/>
        <w:textAlignment w:val="auto"/>
        <w:outlineLvl w:val="9"/>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联行号:3083 0220 7024</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1120" w:firstLineChars="400"/>
        <w:jc w:val="both"/>
        <w:textAlignment w:val="auto"/>
        <w:outlineLvl w:val="9"/>
        <w:rPr>
          <w:rFonts w:hint="eastAsia" w:ascii="方正仿宋_GBK" w:hAnsi="方正仿宋_GBK" w:eastAsia="方正仿宋_GBK" w:cs="方正仿宋_GBK"/>
          <w:b w:val="0"/>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1120" w:firstLineChars="400"/>
        <w:jc w:val="right"/>
        <w:textAlignment w:val="auto"/>
        <w:outlineLvl w:val="9"/>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黄山华都业主委员会</w:t>
      </w:r>
    </w:p>
    <w:p>
      <w:pPr>
        <w:pStyle w:val="23"/>
        <w:keepNext w:val="0"/>
        <w:keepLines w:val="0"/>
        <w:pageBreakBefore w:val="0"/>
        <w:widowControl w:val="0"/>
        <w:wordWrap/>
        <w:overflowPunct/>
        <w:topLinePunct w:val="0"/>
        <w:bidi w:val="0"/>
        <w:adjustRightInd w:val="0"/>
        <w:snapToGrid w:val="0"/>
        <w:spacing w:line="360" w:lineRule="auto"/>
        <w:ind w:left="480" w:hanging="560" w:hangingChars="200"/>
        <w:jc w:val="both"/>
        <w:rPr>
          <w:rFonts w:hint="eastAsia" w:ascii="方正仿宋_GBK" w:hAnsi="方正仿宋_GBK" w:eastAsia="方正仿宋_GBK" w:cs="方正仿宋_GBK"/>
          <w:color w:val="auto"/>
          <w:sz w:val="28"/>
          <w:szCs w:val="28"/>
          <w:lang w:val="en-US" w:eastAsia="zh-CN"/>
        </w:rPr>
      </w:pPr>
    </w:p>
    <w:p>
      <w:pPr>
        <w:pStyle w:val="23"/>
        <w:keepNext w:val="0"/>
        <w:keepLines w:val="0"/>
        <w:pageBreakBefore w:val="0"/>
        <w:widowControl w:val="0"/>
        <w:wordWrap/>
        <w:overflowPunct/>
        <w:topLinePunct w:val="0"/>
        <w:bidi w:val="0"/>
        <w:adjustRightInd w:val="0"/>
        <w:snapToGrid w:val="0"/>
        <w:spacing w:line="360" w:lineRule="auto"/>
        <w:ind w:left="480" w:hanging="560" w:hangingChars="200"/>
        <w:jc w:val="both"/>
        <w:rPr>
          <w:rFonts w:hint="eastAsia" w:ascii="方正仿宋_GBK" w:hAnsi="方正仿宋_GBK" w:eastAsia="方正仿宋_GBK" w:cs="方正仿宋_GBK"/>
          <w:color w:val="auto"/>
          <w:sz w:val="28"/>
          <w:szCs w:val="28"/>
          <w:lang w:val="en-US" w:eastAsia="zh-CN"/>
        </w:rPr>
      </w:pPr>
    </w:p>
    <w:p>
      <w:pPr>
        <w:pStyle w:val="23"/>
        <w:keepNext w:val="0"/>
        <w:keepLines w:val="0"/>
        <w:pageBreakBefore w:val="0"/>
        <w:widowControl w:val="0"/>
        <w:wordWrap/>
        <w:overflowPunct/>
        <w:topLinePunct w:val="0"/>
        <w:bidi w:val="0"/>
        <w:adjustRightInd w:val="0"/>
        <w:snapToGrid w:val="0"/>
        <w:spacing w:line="360" w:lineRule="auto"/>
        <w:ind w:left="480" w:hanging="560" w:hangingChars="200"/>
        <w:jc w:val="both"/>
        <w:rPr>
          <w:rFonts w:hint="eastAsia" w:ascii="方正仿宋_GBK" w:hAnsi="方正仿宋_GBK" w:eastAsia="方正仿宋_GBK" w:cs="方正仿宋_GBK"/>
          <w:color w:val="auto"/>
          <w:sz w:val="28"/>
          <w:szCs w:val="28"/>
          <w:lang w:val="en-US" w:eastAsia="zh-CN"/>
        </w:rPr>
      </w:pPr>
    </w:p>
    <w:p>
      <w:pPr>
        <w:pStyle w:val="2"/>
        <w:keepNext w:val="0"/>
        <w:keepLines w:val="0"/>
        <w:pageBreakBefore w:val="0"/>
        <w:widowControl w:val="0"/>
        <w:wordWrap/>
        <w:overflowPunct/>
        <w:topLinePunct w:val="0"/>
        <w:bidi w:val="0"/>
        <w:adjustRightInd w:val="0"/>
        <w:snapToGrid w:val="0"/>
        <w:rPr>
          <w:rFonts w:hint="eastAsia"/>
        </w:rPr>
      </w:pPr>
    </w:p>
    <w:p>
      <w:pPr>
        <w:keepNext w:val="0"/>
        <w:keepLines w:val="0"/>
        <w:pageBreakBefore w:val="0"/>
        <w:widowControl w:val="0"/>
        <w:wordWrap/>
        <w:overflowPunct/>
        <w:topLinePunct w:val="0"/>
        <w:bidi w:val="0"/>
        <w:adjustRightInd w:val="0"/>
        <w:snapToGrid w:val="0"/>
        <w:spacing w:before="35" w:line="240" w:lineRule="auto"/>
        <w:ind w:right="347"/>
        <w:jc w:val="left"/>
        <w:rPr>
          <w:rFonts w:hint="eastAsia" w:ascii="黑体" w:hAnsi="黑体" w:eastAsia="黑体" w:cs="黑体"/>
          <w:bCs/>
          <w:color w:val="auto"/>
          <w:w w:val="105"/>
          <w:sz w:val="32"/>
          <w:szCs w:val="32"/>
          <w:lang w:val="en-US" w:eastAsia="zh-CN"/>
        </w:rPr>
      </w:pPr>
      <w:r>
        <w:rPr>
          <w:rFonts w:hint="eastAsia" w:ascii="黑体" w:hAnsi="黑体" w:eastAsia="黑体" w:cs="黑体"/>
          <w:bCs/>
          <w:color w:val="auto"/>
          <w:w w:val="105"/>
          <w:sz w:val="32"/>
          <w:szCs w:val="32"/>
          <w:lang w:val="en-US" w:eastAsia="zh-CN"/>
        </w:rPr>
        <w:t>附件3</w:t>
      </w:r>
    </w:p>
    <w:p>
      <w:pPr>
        <w:keepNext w:val="0"/>
        <w:keepLines w:val="0"/>
        <w:pageBreakBefore w:val="0"/>
        <w:widowControl w:val="0"/>
        <w:wordWrap/>
        <w:overflowPunct/>
        <w:topLinePunct w:val="0"/>
        <w:bidi w:val="0"/>
        <w:adjustRightInd w:val="0"/>
        <w:snapToGrid w:val="0"/>
        <w:rPr>
          <w:rFonts w:hint="eastAsia" w:ascii="方正仿宋_GBK" w:hAnsi="方正仿宋_GBK" w:eastAsia="方正仿宋_GBK" w:cs="方正仿宋_GBK"/>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0"/>
        <w:rPr>
          <w:rFonts w:hint="eastAsia" w:ascii="方正黑体_GBK" w:hAnsi="方正黑体_GBK" w:eastAsia="方正黑体_GBK" w:cs="方正黑体_GBK"/>
          <w:b w:val="0"/>
          <w:bCs/>
          <w:color w:val="auto"/>
          <w:sz w:val="36"/>
          <w:szCs w:val="36"/>
          <w:highlight w:val="none"/>
        </w:rPr>
      </w:pPr>
      <w:bookmarkStart w:id="4" w:name="_Toc461979257"/>
      <w:r>
        <w:rPr>
          <w:rFonts w:hint="eastAsia" w:ascii="方正黑体_GBK" w:hAnsi="方正黑体_GBK" w:eastAsia="方正黑体_GBK" w:cs="方正黑体_GBK"/>
          <w:b w:val="0"/>
          <w:bCs/>
          <w:color w:val="auto"/>
          <w:sz w:val="36"/>
          <w:szCs w:val="36"/>
          <w:highlight w:val="none"/>
        </w:rPr>
        <w:t>授权委托书</w:t>
      </w:r>
      <w:bookmarkEnd w:id="4"/>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方正黑体_GBK" w:hAnsi="方正黑体_GBK" w:eastAsia="方正黑体_GBK" w:cs="方正黑体_GBK"/>
          <w:b w:val="0"/>
          <w:bCs/>
          <w:color w:val="auto"/>
          <w:sz w:val="24"/>
          <w:szCs w:val="24"/>
          <w:highlight w:val="none"/>
          <w:u w:val="none"/>
          <w:lang w:val="en-US" w:eastAsia="zh-CN"/>
        </w:rPr>
      </w:pPr>
      <w:bookmarkStart w:id="5" w:name="_Toc158001473"/>
      <w:r>
        <w:rPr>
          <w:rFonts w:hint="eastAsia" w:ascii="方正黑体_GBK" w:hAnsi="方正黑体_GBK" w:eastAsia="方正黑体_GBK" w:cs="方正黑体_GBK"/>
          <w:b w:val="0"/>
          <w:bCs/>
          <w:color w:val="auto"/>
          <w:sz w:val="24"/>
          <w:szCs w:val="24"/>
          <w:highlight w:val="none"/>
          <w:u w:val="none"/>
        </w:rPr>
        <w:t>致：</w:t>
      </w:r>
      <w:r>
        <w:rPr>
          <w:rFonts w:hint="eastAsia" w:ascii="方正黑体_GBK" w:hAnsi="方正黑体_GBK" w:eastAsia="方正黑体_GBK" w:cs="方正黑体_GBK"/>
          <w:b w:val="0"/>
          <w:bCs/>
          <w:color w:val="auto"/>
          <w:sz w:val="24"/>
          <w:szCs w:val="24"/>
          <w:highlight w:val="none"/>
          <w:u w:val="none"/>
          <w:lang w:val="en-US" w:eastAsia="zh-CN"/>
        </w:rPr>
        <w:t>江阴市黄山华都小区业主</w:t>
      </w:r>
    </w:p>
    <w:bookmarkEnd w:id="5"/>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本授权委托书声明：我</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i w:val="0"/>
          <w:iCs w:val="0"/>
          <w:caps w:val="0"/>
          <w:color w:val="auto"/>
          <w:spacing w:val="0"/>
          <w:sz w:val="24"/>
          <w:szCs w:val="24"/>
          <w:highlight w:val="none"/>
          <w:u w:val="single"/>
          <w:shd w:val="clear" w:color="auto" w:fill="FFFFFF"/>
          <w:lang w:val="en-US" w:eastAsia="zh-CN"/>
        </w:rPr>
        <w:t xml:space="preserve"> </w:t>
      </w:r>
      <w:r>
        <w:rPr>
          <w:rFonts w:hint="eastAsia" w:ascii="宋体" w:hAnsi="宋体" w:eastAsia="宋体" w:cs="宋体"/>
          <w:color w:val="auto"/>
          <w:sz w:val="24"/>
          <w:szCs w:val="24"/>
          <w:highlight w:val="none"/>
        </w:rPr>
        <w:t>（姓名）系</w:t>
      </w:r>
      <w:r>
        <w:rPr>
          <w:rFonts w:hint="eastAsia" w:ascii="宋体" w:hAnsi="宋体" w:eastAsia="宋体" w:cs="宋体"/>
          <w:color w:val="auto"/>
          <w:kern w:val="0"/>
          <w:sz w:val="28"/>
          <w:szCs w:val="28"/>
          <w:highlight w:val="none"/>
          <w:u w:val="single"/>
          <w:lang w:val="en-US" w:eastAsia="zh-CN" w:bidi="ar"/>
        </w:rPr>
        <w:t xml:space="preserve">  </w:t>
      </w:r>
      <w:r>
        <w:rPr>
          <w:rFonts w:hint="eastAsia" w:ascii="宋体" w:hAnsi="宋体" w:cs="宋体"/>
          <w:color w:val="auto"/>
          <w:kern w:val="0"/>
          <w:sz w:val="28"/>
          <w:szCs w:val="28"/>
          <w:highlight w:val="none"/>
          <w:u w:val="single"/>
          <w:lang w:val="en-US" w:eastAsia="zh-CN" w:bidi="ar"/>
        </w:rPr>
        <w:t xml:space="preserve">                </w:t>
      </w:r>
      <w:r>
        <w:rPr>
          <w:rFonts w:hint="eastAsia" w:ascii="宋体" w:hAnsi="宋体" w:eastAsia="宋体" w:cs="宋体"/>
          <w:color w:val="auto"/>
          <w:kern w:val="0"/>
          <w:sz w:val="28"/>
          <w:szCs w:val="28"/>
          <w:highlight w:val="none"/>
          <w:u w:val="single"/>
          <w:lang w:val="en-US" w:eastAsia="zh-CN" w:bidi="ar"/>
        </w:rPr>
        <w:t xml:space="preserve"> </w:t>
      </w:r>
      <w:r>
        <w:rPr>
          <w:rFonts w:hint="eastAsia" w:ascii="宋体" w:hAnsi="宋体" w:eastAsia="宋体" w:cs="宋体"/>
          <w:color w:val="auto"/>
          <w:sz w:val="24"/>
          <w:szCs w:val="24"/>
          <w:highlight w:val="none"/>
        </w:rPr>
        <w:t>的法定代表人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负责人</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，现</w:t>
      </w:r>
      <w:r>
        <w:rPr>
          <w:rFonts w:hint="eastAsia" w:ascii="宋体" w:hAnsi="宋体" w:eastAsia="宋体" w:cs="宋体"/>
          <w:color w:val="auto"/>
          <w:sz w:val="24"/>
          <w:szCs w:val="24"/>
          <w:highlight w:val="none"/>
          <w:lang w:val="en-US" w:eastAsia="zh-CN"/>
        </w:rPr>
        <w:t>全权</w:t>
      </w:r>
      <w:r>
        <w:rPr>
          <w:rFonts w:hint="eastAsia" w:ascii="宋体" w:hAnsi="宋体" w:eastAsia="宋体" w:cs="宋体"/>
          <w:color w:val="auto"/>
          <w:sz w:val="24"/>
          <w:szCs w:val="24"/>
          <w:highlight w:val="none"/>
        </w:rPr>
        <w:t>委托</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i w:val="0"/>
          <w:iCs w:val="0"/>
          <w:caps w:val="0"/>
          <w:color w:val="auto"/>
          <w:spacing w:val="0"/>
          <w:sz w:val="21"/>
          <w:szCs w:val="21"/>
          <w:highlight w:val="none"/>
          <w:u w:val="single"/>
          <w:shd w:val="clear" w:color="auto" w:fill="FFFFFF"/>
          <w:lang w:val="en-US" w:eastAsia="zh-CN"/>
        </w:rPr>
        <w:t xml:space="preserve"> </w:t>
      </w:r>
      <w:r>
        <w:rPr>
          <w:rFonts w:hint="eastAsia" w:ascii="宋体" w:hAnsi="宋体" w:cs="宋体"/>
          <w:i w:val="0"/>
          <w:iCs w:val="0"/>
          <w:caps w:val="0"/>
          <w:color w:val="auto"/>
          <w:spacing w:val="0"/>
          <w:sz w:val="21"/>
          <w:szCs w:val="21"/>
          <w:highlight w:val="none"/>
          <w:u w:val="single"/>
          <w:shd w:val="clear" w:color="auto" w:fill="FFFFFF"/>
          <w:lang w:val="en-US" w:eastAsia="zh-CN"/>
        </w:rPr>
        <w:t xml:space="preserve">       </w:t>
      </w:r>
      <w:r>
        <w:rPr>
          <w:rFonts w:hint="eastAsia" w:ascii="宋体" w:hAnsi="宋体" w:eastAsia="宋体" w:cs="宋体"/>
          <w:i w:val="0"/>
          <w:iCs w:val="0"/>
          <w:caps w:val="0"/>
          <w:color w:val="auto"/>
          <w:spacing w:val="0"/>
          <w:sz w:val="21"/>
          <w:szCs w:val="21"/>
          <w:highlight w:val="none"/>
          <w:u w:val="single"/>
          <w:shd w:val="clear" w:color="auto" w:fill="FFFFFF"/>
          <w:lang w:val="en-US" w:eastAsia="zh-CN"/>
        </w:rPr>
        <w:t xml:space="preserve"> </w:t>
      </w:r>
      <w:r>
        <w:rPr>
          <w:rFonts w:hint="eastAsia" w:ascii="宋体" w:hAnsi="宋体" w:eastAsia="宋体" w:cs="宋体"/>
          <w:color w:val="auto"/>
          <w:sz w:val="24"/>
          <w:szCs w:val="24"/>
          <w:highlight w:val="none"/>
        </w:rPr>
        <w:t>（姓名）为</w:t>
      </w:r>
      <w:r>
        <w:rPr>
          <w:rFonts w:hint="eastAsia" w:ascii="宋体" w:hAnsi="宋体" w:cs="宋体"/>
          <w:color w:val="auto"/>
          <w:sz w:val="24"/>
          <w:szCs w:val="24"/>
          <w:highlight w:val="none"/>
          <w:lang w:val="en-US" w:eastAsia="zh-CN"/>
        </w:rPr>
        <w:t>我司</w:t>
      </w:r>
      <w:r>
        <w:rPr>
          <w:rFonts w:hint="eastAsia" w:ascii="宋体" w:hAnsi="宋体" w:eastAsia="宋体" w:cs="宋体"/>
          <w:color w:val="auto"/>
          <w:sz w:val="24"/>
          <w:szCs w:val="24"/>
          <w:highlight w:val="none"/>
        </w:rPr>
        <w:t>代理人，以本</w:t>
      </w:r>
      <w:r>
        <w:rPr>
          <w:rFonts w:hint="eastAsia" w:ascii="宋体" w:hAnsi="宋体" w:cs="宋体"/>
          <w:color w:val="auto"/>
          <w:sz w:val="24"/>
          <w:szCs w:val="24"/>
          <w:highlight w:val="none"/>
          <w:lang w:val="en-US" w:eastAsia="zh-CN"/>
        </w:rPr>
        <w:t>企业</w:t>
      </w:r>
      <w:r>
        <w:rPr>
          <w:rFonts w:hint="eastAsia" w:ascii="宋体" w:hAnsi="宋体" w:eastAsia="宋体" w:cs="宋体"/>
          <w:color w:val="auto"/>
          <w:sz w:val="24"/>
          <w:szCs w:val="24"/>
          <w:highlight w:val="none"/>
        </w:rPr>
        <w:t>的名义</w:t>
      </w:r>
      <w:r>
        <w:rPr>
          <w:rFonts w:hint="eastAsia" w:ascii="宋体" w:hAnsi="宋体" w:eastAsia="宋体" w:cs="宋体"/>
          <w:color w:val="auto"/>
          <w:sz w:val="24"/>
          <w:szCs w:val="24"/>
          <w:highlight w:val="none"/>
          <w:lang w:val="en-US" w:eastAsia="zh-CN"/>
        </w:rPr>
        <w:t>负责</w:t>
      </w:r>
      <w:r>
        <w:rPr>
          <w:rFonts w:hint="eastAsia" w:ascii="宋体" w:hAnsi="宋体" w:cs="宋体"/>
          <w:color w:val="auto"/>
          <w:sz w:val="24"/>
          <w:szCs w:val="24"/>
          <w:highlight w:val="none"/>
          <w:lang w:val="en-US" w:eastAsia="zh-CN"/>
        </w:rPr>
        <w:t>竞聘贵小区物业服务企业</w:t>
      </w:r>
      <w:r>
        <w:rPr>
          <w:rFonts w:hint="eastAsia" w:ascii="宋体" w:hAnsi="宋体" w:eastAsia="宋体" w:cs="宋体"/>
          <w:color w:val="auto"/>
          <w:sz w:val="24"/>
          <w:szCs w:val="24"/>
          <w:highlight w:val="none"/>
          <w:lang w:val="en-US" w:eastAsia="zh-CN"/>
        </w:rPr>
        <w:t>过程中处理与之相关的一切事务</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其代表本</w:t>
      </w:r>
      <w:r>
        <w:rPr>
          <w:rFonts w:hint="eastAsia" w:ascii="宋体" w:hAnsi="宋体" w:cs="宋体"/>
          <w:color w:val="auto"/>
          <w:sz w:val="24"/>
          <w:szCs w:val="24"/>
          <w:highlight w:val="none"/>
          <w:lang w:val="en-US" w:eastAsia="zh-CN"/>
        </w:rPr>
        <w:t>企业</w:t>
      </w:r>
      <w:r>
        <w:rPr>
          <w:rFonts w:hint="eastAsia" w:ascii="宋体" w:hAnsi="宋体" w:eastAsia="宋体" w:cs="宋体"/>
          <w:color w:val="auto"/>
          <w:sz w:val="24"/>
          <w:szCs w:val="24"/>
          <w:highlight w:val="none"/>
          <w:lang w:val="en-US" w:eastAsia="zh-CN"/>
        </w:rPr>
        <w:t>签署的一切文件均有效，我司对其签署的文件承担相应法律责任，我司均予以承认。本授权自</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日起生效。</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授权范围</w:t>
      </w:r>
      <w:r>
        <w:rPr>
          <w:rFonts w:hint="eastAsia" w:ascii="宋体" w:hAnsi="宋体" w:cs="宋体"/>
          <w:color w:val="auto"/>
          <w:sz w:val="24"/>
          <w:szCs w:val="24"/>
          <w:highlight w:val="none"/>
          <w:lang w:val="en-US" w:eastAsia="zh-CN"/>
        </w:rPr>
        <w:t>：竞聘文件、主合同及补充协议、</w:t>
      </w:r>
      <w:r>
        <w:rPr>
          <w:rFonts w:hint="eastAsia" w:ascii="宋体" w:hAnsi="宋体" w:eastAsia="宋体" w:cs="宋体"/>
          <w:color w:val="auto"/>
          <w:sz w:val="24"/>
          <w:szCs w:val="24"/>
          <w:highlight w:val="none"/>
          <w:lang w:val="en-US" w:eastAsia="zh-CN"/>
        </w:rPr>
        <w:t>会议纪要、工作联系函、</w:t>
      </w:r>
      <w:r>
        <w:rPr>
          <w:rFonts w:hint="eastAsia" w:ascii="宋体" w:hAnsi="宋体" w:cs="宋体"/>
          <w:color w:val="auto"/>
          <w:sz w:val="24"/>
          <w:szCs w:val="24"/>
          <w:highlight w:val="none"/>
          <w:lang w:val="en-US" w:eastAsia="zh-CN"/>
        </w:rPr>
        <w:t>承诺书等与竞聘及合同履行相关</w:t>
      </w:r>
      <w:r>
        <w:rPr>
          <w:rFonts w:hint="eastAsia" w:ascii="宋体" w:hAnsi="宋体" w:eastAsia="宋体" w:cs="宋体"/>
          <w:color w:val="auto"/>
          <w:sz w:val="24"/>
          <w:szCs w:val="24"/>
          <w:highlight w:val="none"/>
          <w:lang w:val="en-US" w:eastAsia="zh-CN"/>
        </w:rPr>
        <w:t>的文件。</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color w:val="auto"/>
          <w:sz w:val="24"/>
          <w:szCs w:val="24"/>
          <w:highlight w:val="none"/>
          <w:lang w:val="en-US" w:eastAsia="zh-CN"/>
        </w:rPr>
      </w:pPr>
    </w:p>
    <w:tbl>
      <w:tblPr>
        <w:tblStyle w:val="10"/>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7"/>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237"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color w:val="auto"/>
                <w:sz w:val="24"/>
                <w:szCs w:val="24"/>
                <w:highlight w:val="none"/>
                <w:vertAlign w:val="baseline"/>
                <w:lang w:val="en-US" w:eastAsia="zh-CN"/>
              </w:rPr>
            </w:pPr>
            <w:r>
              <w:rPr>
                <w:rFonts w:hint="eastAsia" w:eastAsia="宋体"/>
                <w:color w:val="auto"/>
                <w:sz w:val="24"/>
                <w:szCs w:val="24"/>
                <w:highlight w:val="none"/>
                <w:vertAlign w:val="baseline"/>
                <w:lang w:val="en-US" w:eastAsia="zh-CN"/>
              </w:rPr>
              <w:t>法人身份证复印件</w:t>
            </w:r>
          </w:p>
        </w:tc>
        <w:tc>
          <w:tcPr>
            <w:tcW w:w="4363"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color w:val="auto"/>
                <w:sz w:val="24"/>
                <w:szCs w:val="24"/>
                <w:highlight w:val="none"/>
                <w:vertAlign w:val="baseline"/>
                <w:lang w:val="en-US" w:eastAsia="zh-CN"/>
              </w:rPr>
            </w:pPr>
            <w:r>
              <w:rPr>
                <w:rFonts w:hint="eastAsia" w:eastAsia="宋体"/>
                <w:color w:val="auto"/>
                <w:sz w:val="24"/>
                <w:szCs w:val="24"/>
                <w:highlight w:val="none"/>
                <w:vertAlign w:val="baseline"/>
                <w:lang w:val="en-US" w:eastAsia="zh-CN"/>
              </w:rPr>
              <w:t>代理人身份证复印件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0" w:hRule="atLeast"/>
          <w:jc w:val="center"/>
        </w:trPr>
        <w:tc>
          <w:tcPr>
            <w:tcW w:w="4237"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jc w:val="left"/>
              <w:textAlignment w:val="auto"/>
              <w:rPr>
                <w:rFonts w:hint="eastAsia"/>
                <w:color w:val="auto"/>
                <w:lang w:val="en-US" w:eastAsia="zh-CN"/>
              </w:rPr>
            </w:pPr>
          </w:p>
          <w:p>
            <w:pPr>
              <w:pStyle w:val="24"/>
              <w:keepNext w:val="0"/>
              <w:keepLines w:val="0"/>
              <w:pageBreakBefore w:val="0"/>
              <w:widowControl w:val="0"/>
              <w:wordWrap/>
              <w:overflowPunct/>
              <w:topLinePunct w:val="0"/>
              <w:bidi w:val="0"/>
              <w:adjustRightInd w:val="0"/>
              <w:snapToGrid w:val="0"/>
              <w:rPr>
                <w:rFonts w:hint="eastAsia"/>
                <w:color w:val="auto"/>
                <w:lang w:val="en-US" w:eastAsia="zh-CN"/>
              </w:rPr>
            </w:pPr>
          </w:p>
          <w:p>
            <w:pPr>
              <w:keepNext w:val="0"/>
              <w:keepLines w:val="0"/>
              <w:pageBreakBefore w:val="0"/>
              <w:widowControl w:val="0"/>
              <w:wordWrap/>
              <w:overflowPunct/>
              <w:topLinePunct w:val="0"/>
              <w:bidi w:val="0"/>
              <w:adjustRightInd w:val="0"/>
              <w:snapToGrid w:val="0"/>
              <w:rPr>
                <w:rFonts w:hint="eastAsia"/>
                <w:color w:val="auto"/>
                <w:lang w:val="en-US" w:eastAsia="zh-CN"/>
              </w:rPr>
            </w:pPr>
          </w:p>
          <w:p>
            <w:pPr>
              <w:pStyle w:val="24"/>
              <w:keepNext w:val="0"/>
              <w:keepLines w:val="0"/>
              <w:pageBreakBefore w:val="0"/>
              <w:widowControl w:val="0"/>
              <w:wordWrap/>
              <w:overflowPunct/>
              <w:topLinePunct w:val="0"/>
              <w:bidi w:val="0"/>
              <w:adjustRightInd w:val="0"/>
              <w:snapToGrid w:val="0"/>
              <w:rPr>
                <w:rFonts w:hint="eastAsia"/>
                <w:color w:val="auto"/>
                <w:lang w:val="en-US" w:eastAsia="zh-CN"/>
              </w:rPr>
            </w:pPr>
          </w:p>
          <w:p>
            <w:pPr>
              <w:keepNext w:val="0"/>
              <w:keepLines w:val="0"/>
              <w:pageBreakBefore w:val="0"/>
              <w:widowControl w:val="0"/>
              <w:wordWrap/>
              <w:overflowPunct/>
              <w:topLinePunct w:val="0"/>
              <w:bidi w:val="0"/>
              <w:adjustRightInd w:val="0"/>
              <w:snapToGrid w:val="0"/>
              <w:rPr>
                <w:rFonts w:hint="eastAsia"/>
                <w:color w:val="auto"/>
                <w:lang w:val="en-US" w:eastAsia="zh-CN"/>
              </w:rPr>
            </w:pPr>
          </w:p>
          <w:p>
            <w:pPr>
              <w:pStyle w:val="24"/>
              <w:keepNext w:val="0"/>
              <w:keepLines w:val="0"/>
              <w:pageBreakBefore w:val="0"/>
              <w:widowControl w:val="0"/>
              <w:wordWrap/>
              <w:overflowPunct/>
              <w:topLinePunct w:val="0"/>
              <w:bidi w:val="0"/>
              <w:adjustRightInd w:val="0"/>
              <w:snapToGrid w:val="0"/>
              <w:rPr>
                <w:rFonts w:hint="eastAsia"/>
                <w:color w:val="auto"/>
                <w:lang w:val="en-US" w:eastAsia="zh-CN"/>
              </w:rPr>
            </w:pPr>
          </w:p>
        </w:tc>
        <w:tc>
          <w:tcPr>
            <w:tcW w:w="4363"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237"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color w:val="auto"/>
                <w:sz w:val="24"/>
                <w:szCs w:val="24"/>
                <w:highlight w:val="none"/>
                <w:vertAlign w:val="baseline"/>
                <w:lang w:val="en-US" w:eastAsia="zh-CN"/>
              </w:rPr>
            </w:pPr>
            <w:r>
              <w:rPr>
                <w:rFonts w:hint="eastAsia" w:eastAsia="宋体"/>
                <w:color w:val="auto"/>
                <w:sz w:val="24"/>
                <w:szCs w:val="24"/>
                <w:highlight w:val="none"/>
                <w:vertAlign w:val="baseline"/>
                <w:lang w:val="en-US" w:eastAsia="zh-CN"/>
              </w:rPr>
              <w:t>联系电话：</w:t>
            </w:r>
          </w:p>
        </w:tc>
        <w:tc>
          <w:tcPr>
            <w:tcW w:w="4363" w:type="dxa"/>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00" w:lineRule="exact"/>
              <w:jc w:val="left"/>
              <w:textAlignment w:val="auto"/>
              <w:rPr>
                <w:rFonts w:hint="eastAsia" w:ascii="宋体" w:hAnsi="宋体" w:eastAsia="宋体" w:cs="宋体"/>
                <w:color w:val="auto"/>
                <w:sz w:val="24"/>
                <w:szCs w:val="24"/>
                <w:highlight w:val="none"/>
                <w:vertAlign w:val="baseline"/>
                <w:lang w:val="en-US" w:eastAsia="zh-CN"/>
              </w:rPr>
            </w:pPr>
            <w:r>
              <w:rPr>
                <w:rFonts w:hint="eastAsia" w:eastAsia="宋体"/>
                <w:color w:val="auto"/>
                <w:sz w:val="24"/>
                <w:szCs w:val="24"/>
                <w:highlight w:val="none"/>
                <w:vertAlign w:val="baseline"/>
                <w:lang w:val="en-US" w:eastAsia="zh-CN"/>
              </w:rPr>
              <w:t>联系电话：</w:t>
            </w:r>
          </w:p>
        </w:tc>
      </w:tr>
    </w:tbl>
    <w:p>
      <w:pPr>
        <w:keepNext w:val="0"/>
        <w:keepLines w:val="0"/>
        <w:pageBreakBefore w:val="0"/>
        <w:widowControl w:val="0"/>
        <w:kinsoku/>
        <w:wordWrap/>
        <w:overflowPunct/>
        <w:topLinePunct w:val="0"/>
        <w:bidi w:val="0"/>
        <w:adjustRightInd w:val="0"/>
        <w:snapToGrid w:val="0"/>
        <w:spacing w:beforeLines="50" w:line="578" w:lineRule="atLeast"/>
        <w:rPr>
          <w:rFonts w:hint="eastAsia" w:eastAsia="宋体"/>
          <w:color w:val="auto"/>
          <w:sz w:val="24"/>
          <w:szCs w:val="24"/>
          <w:highlight w:val="none"/>
          <w:lang w:eastAsia="zh-CN"/>
        </w:rPr>
      </w:pPr>
      <w:r>
        <w:rPr>
          <w:rFonts w:hint="eastAsia" w:eastAsia="宋体"/>
          <w:color w:val="auto"/>
          <w:sz w:val="24"/>
          <w:szCs w:val="24"/>
          <w:highlight w:val="none"/>
          <w:lang w:val="en-US" w:eastAsia="zh-CN"/>
        </w:rPr>
        <w:t>授权单位</w:t>
      </w:r>
      <w:r>
        <w:rPr>
          <w:rFonts w:eastAsia="宋体"/>
          <w:color w:val="auto"/>
          <w:sz w:val="24"/>
          <w:szCs w:val="24"/>
          <w:highlight w:val="none"/>
        </w:rPr>
        <w:t>（盖章）</w:t>
      </w:r>
      <w:r>
        <w:rPr>
          <w:rFonts w:hint="eastAsia" w:eastAsia="宋体"/>
          <w:color w:val="auto"/>
          <w:sz w:val="24"/>
          <w:szCs w:val="24"/>
          <w:highlight w:val="none"/>
          <w:lang w:eastAsia="zh-CN"/>
        </w:rPr>
        <w:t>：</w:t>
      </w:r>
    </w:p>
    <w:p>
      <w:pPr>
        <w:keepNext w:val="0"/>
        <w:keepLines w:val="0"/>
        <w:pageBreakBefore w:val="0"/>
        <w:widowControl w:val="0"/>
        <w:kinsoku/>
        <w:wordWrap/>
        <w:overflowPunct/>
        <w:topLinePunct w:val="0"/>
        <w:bidi w:val="0"/>
        <w:adjustRightInd w:val="0"/>
        <w:snapToGrid w:val="0"/>
        <w:spacing w:beforeLines="50" w:line="578" w:lineRule="atLeast"/>
        <w:rPr>
          <w:rFonts w:hint="eastAsia" w:ascii="黑体" w:hAnsi="黑体" w:eastAsia="黑体" w:cs="黑体"/>
          <w:color w:val="auto"/>
          <w:sz w:val="28"/>
          <w:szCs w:val="28"/>
          <w:highlight w:val="none"/>
          <w:lang w:val="en-US" w:eastAsia="zh-CN"/>
        </w:rPr>
      </w:pPr>
      <w:r>
        <w:rPr>
          <w:rFonts w:eastAsia="宋体"/>
          <w:color w:val="auto"/>
          <w:sz w:val="24"/>
          <w:szCs w:val="24"/>
          <w:highlight w:val="none"/>
        </w:rPr>
        <w:t>法定代表人</w:t>
      </w:r>
      <w:r>
        <w:rPr>
          <w:rFonts w:hint="eastAsia" w:eastAsia="宋体"/>
          <w:color w:val="auto"/>
          <w:sz w:val="24"/>
          <w:szCs w:val="24"/>
          <w:highlight w:val="none"/>
          <w:lang w:val="en-US" w:eastAsia="zh-CN"/>
        </w:rPr>
        <w:t>/负责人</w:t>
      </w:r>
      <w:r>
        <w:rPr>
          <w:rFonts w:hint="eastAsia" w:eastAsia="宋体"/>
          <w:color w:val="auto"/>
          <w:sz w:val="24"/>
          <w:szCs w:val="24"/>
          <w:highlight w:val="none"/>
          <w:lang w:eastAsia="zh-CN"/>
        </w:rPr>
        <w:t>（</w:t>
      </w:r>
      <w:r>
        <w:rPr>
          <w:rFonts w:hint="eastAsia" w:eastAsia="宋体"/>
          <w:color w:val="auto"/>
          <w:sz w:val="24"/>
          <w:szCs w:val="24"/>
          <w:highlight w:val="none"/>
          <w:lang w:val="en-US" w:eastAsia="zh-CN"/>
        </w:rPr>
        <w:t>签字</w:t>
      </w:r>
      <w:r>
        <w:rPr>
          <w:rFonts w:hint="eastAsia" w:eastAsia="宋体"/>
          <w:color w:val="auto"/>
          <w:sz w:val="24"/>
          <w:szCs w:val="24"/>
          <w:highlight w:val="none"/>
          <w:lang w:eastAsia="zh-CN"/>
        </w:rPr>
        <w:t>）</w:t>
      </w:r>
      <w:r>
        <w:rPr>
          <w:rFonts w:eastAsia="宋体"/>
          <w:color w:val="auto"/>
          <w:sz w:val="24"/>
          <w:szCs w:val="24"/>
          <w:highlight w:val="none"/>
        </w:rPr>
        <w:t>：</w:t>
      </w:r>
    </w:p>
    <w:sectPr>
      <w:footerReference r:id="rId3" w:type="default"/>
      <w:pgSz w:w="11910" w:h="16840"/>
      <w:pgMar w:top="1440" w:right="1080" w:bottom="1440" w:left="1080" w:header="0" w:footer="174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32"/>
      </w:rPr>
      <mc:AlternateContent>
        <mc:Choice Requires="wps">
          <w:drawing>
            <wp:anchor distT="0" distB="0" distL="114300" distR="114300" simplePos="0" relativeHeight="251659264" behindDoc="1" locked="0" layoutInCell="1" allowOverlap="1">
              <wp:simplePos x="0" y="0"/>
              <wp:positionH relativeFrom="page">
                <wp:posOffset>1174750</wp:posOffset>
              </wp:positionH>
              <wp:positionV relativeFrom="page">
                <wp:posOffset>9397365</wp:posOffset>
              </wp:positionV>
              <wp:extent cx="648970" cy="222885"/>
              <wp:effectExtent l="3175"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8970" cy="222885"/>
                      </a:xfrm>
                      <a:prstGeom prst="rect">
                        <a:avLst/>
                      </a:prstGeom>
                      <a:noFill/>
                      <a:ln>
                        <a:noFill/>
                      </a:ln>
                    </wps:spPr>
                    <wps:txbx>
                      <w:txbxContent>
                        <w:p>
                          <w:pPr>
                            <w:spacing w:before="9"/>
                            <w:ind w:left="20"/>
                            <w:rPr>
                              <w:rFonts w:ascii="Times New Roman" w:hAnsi="Times New Roman"/>
                              <w:sz w:val="2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2.5pt;margin-top:739.95pt;height:17.55pt;width:51.1pt;mso-position-horizontal-relative:page;mso-position-vertical-relative:page;z-index:-251657216;mso-width-relative:page;mso-height-relative:page;" filled="f" stroked="f" coordsize="21600,21600" o:gfxdata="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1/6stkAAAANAQAADwAAAAAAAAABACAA&#10;AAAiAAAAZHJzL2Rvd25yZXYueG1sUEsBAhQAFAAAAAgAh07iQO8nESEMAgAABAQAAA4AAAAAAAAA&#10;AQAgAAAAKAEAAGRycy9lMm9Eb2MueG1sUEsFBgAAAAAGAAYAWQEAAKYFAAAAAA==&#10;">
              <v:fill on="f" focussize="0,0"/>
              <v:stroke on="f"/>
              <v:imagedata o:title=""/>
              <o:lock v:ext="edit" aspectratio="f"/>
              <v:textbox inset="0mm,0mm,0mm,0mm">
                <w:txbxContent>
                  <w:p>
                    <w:pPr>
                      <w:spacing w:before="9"/>
                      <w:ind w:left="20"/>
                      <w:rPr>
                        <w:rFonts w:ascii="Times New Roman" w:hAnsi="Times New Roman"/>
                        <w:sz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ZWU4NDAyYzY5ZDhmMjNkMDhjOTE4NGZjMjlmM2UifQ=="/>
  </w:docVars>
  <w:rsids>
    <w:rsidRoot w:val="00FE3258"/>
    <w:rsid w:val="00010DAD"/>
    <w:rsid w:val="00011B93"/>
    <w:rsid w:val="00024D84"/>
    <w:rsid w:val="00050C49"/>
    <w:rsid w:val="00053357"/>
    <w:rsid w:val="00056AC3"/>
    <w:rsid w:val="00061BC9"/>
    <w:rsid w:val="000803C2"/>
    <w:rsid w:val="00083D8A"/>
    <w:rsid w:val="000A0D4B"/>
    <w:rsid w:val="000B20EF"/>
    <w:rsid w:val="000B4D7A"/>
    <w:rsid w:val="000B5F6A"/>
    <w:rsid w:val="000B71FF"/>
    <w:rsid w:val="000C5141"/>
    <w:rsid w:val="000C610F"/>
    <w:rsid w:val="001056C9"/>
    <w:rsid w:val="00133BB9"/>
    <w:rsid w:val="001530A2"/>
    <w:rsid w:val="001602CB"/>
    <w:rsid w:val="00192DD2"/>
    <w:rsid w:val="001970B7"/>
    <w:rsid w:val="001A1EC8"/>
    <w:rsid w:val="001A687D"/>
    <w:rsid w:val="001C66AE"/>
    <w:rsid w:val="00202BC3"/>
    <w:rsid w:val="0024681C"/>
    <w:rsid w:val="002B33AE"/>
    <w:rsid w:val="002B6401"/>
    <w:rsid w:val="003031C4"/>
    <w:rsid w:val="00321E40"/>
    <w:rsid w:val="00327E0D"/>
    <w:rsid w:val="0035380C"/>
    <w:rsid w:val="00364ACD"/>
    <w:rsid w:val="00367DF7"/>
    <w:rsid w:val="00387E5E"/>
    <w:rsid w:val="00390A3F"/>
    <w:rsid w:val="003B61DD"/>
    <w:rsid w:val="003D198B"/>
    <w:rsid w:val="003F4488"/>
    <w:rsid w:val="00402FB7"/>
    <w:rsid w:val="004163A6"/>
    <w:rsid w:val="00441DB8"/>
    <w:rsid w:val="00443170"/>
    <w:rsid w:val="00460682"/>
    <w:rsid w:val="0046144E"/>
    <w:rsid w:val="004B5085"/>
    <w:rsid w:val="004F3D4B"/>
    <w:rsid w:val="004F7B8E"/>
    <w:rsid w:val="005655D5"/>
    <w:rsid w:val="005758DA"/>
    <w:rsid w:val="00584867"/>
    <w:rsid w:val="005A3ECD"/>
    <w:rsid w:val="00625B1F"/>
    <w:rsid w:val="0063070C"/>
    <w:rsid w:val="00630AD5"/>
    <w:rsid w:val="00633D89"/>
    <w:rsid w:val="00634832"/>
    <w:rsid w:val="00657784"/>
    <w:rsid w:val="0066619D"/>
    <w:rsid w:val="006C5269"/>
    <w:rsid w:val="006D7BB4"/>
    <w:rsid w:val="00701A02"/>
    <w:rsid w:val="00725549"/>
    <w:rsid w:val="0073173B"/>
    <w:rsid w:val="00750EFD"/>
    <w:rsid w:val="00753574"/>
    <w:rsid w:val="00765EFF"/>
    <w:rsid w:val="007919A8"/>
    <w:rsid w:val="00791E7F"/>
    <w:rsid w:val="007C1FB0"/>
    <w:rsid w:val="00801EAE"/>
    <w:rsid w:val="00821993"/>
    <w:rsid w:val="00827F32"/>
    <w:rsid w:val="008422F1"/>
    <w:rsid w:val="00882BD6"/>
    <w:rsid w:val="00893AF2"/>
    <w:rsid w:val="008B4619"/>
    <w:rsid w:val="008C397C"/>
    <w:rsid w:val="008D36CE"/>
    <w:rsid w:val="008D7EB3"/>
    <w:rsid w:val="008E0472"/>
    <w:rsid w:val="008E29C3"/>
    <w:rsid w:val="008F75E9"/>
    <w:rsid w:val="00903115"/>
    <w:rsid w:val="00917F80"/>
    <w:rsid w:val="009215ED"/>
    <w:rsid w:val="0092546D"/>
    <w:rsid w:val="00960035"/>
    <w:rsid w:val="009675E1"/>
    <w:rsid w:val="009715EF"/>
    <w:rsid w:val="009718FD"/>
    <w:rsid w:val="00980795"/>
    <w:rsid w:val="0098686C"/>
    <w:rsid w:val="009970B8"/>
    <w:rsid w:val="009C7032"/>
    <w:rsid w:val="009E23E0"/>
    <w:rsid w:val="00A45776"/>
    <w:rsid w:val="00A81661"/>
    <w:rsid w:val="00AB3E8F"/>
    <w:rsid w:val="00AB738B"/>
    <w:rsid w:val="00AC11D6"/>
    <w:rsid w:val="00B07FBF"/>
    <w:rsid w:val="00B31A85"/>
    <w:rsid w:val="00B32724"/>
    <w:rsid w:val="00B84BB9"/>
    <w:rsid w:val="00B92056"/>
    <w:rsid w:val="00BC4D05"/>
    <w:rsid w:val="00BD3226"/>
    <w:rsid w:val="00BE53A1"/>
    <w:rsid w:val="00BF235E"/>
    <w:rsid w:val="00C20D79"/>
    <w:rsid w:val="00C5060F"/>
    <w:rsid w:val="00C64AAC"/>
    <w:rsid w:val="00C70FCA"/>
    <w:rsid w:val="00C75444"/>
    <w:rsid w:val="00C87E51"/>
    <w:rsid w:val="00CA19E3"/>
    <w:rsid w:val="00CD66A4"/>
    <w:rsid w:val="00CE1A57"/>
    <w:rsid w:val="00D13763"/>
    <w:rsid w:val="00D14B34"/>
    <w:rsid w:val="00D23F7B"/>
    <w:rsid w:val="00D40945"/>
    <w:rsid w:val="00D422FA"/>
    <w:rsid w:val="00D42A7E"/>
    <w:rsid w:val="00D464BF"/>
    <w:rsid w:val="00D55EB4"/>
    <w:rsid w:val="00E75CD6"/>
    <w:rsid w:val="00E93934"/>
    <w:rsid w:val="00EC6667"/>
    <w:rsid w:val="00EC717D"/>
    <w:rsid w:val="00ED496E"/>
    <w:rsid w:val="00EE1F9B"/>
    <w:rsid w:val="00EE7F7A"/>
    <w:rsid w:val="00EF65FB"/>
    <w:rsid w:val="00F32B6C"/>
    <w:rsid w:val="00F4345C"/>
    <w:rsid w:val="00F45026"/>
    <w:rsid w:val="00FC2256"/>
    <w:rsid w:val="00FD5395"/>
    <w:rsid w:val="00FE3258"/>
    <w:rsid w:val="00FE6E6A"/>
    <w:rsid w:val="00FF4D7C"/>
    <w:rsid w:val="080737B0"/>
    <w:rsid w:val="09AE1A15"/>
    <w:rsid w:val="111909AA"/>
    <w:rsid w:val="128B28B3"/>
    <w:rsid w:val="1794295C"/>
    <w:rsid w:val="2F4E35EE"/>
    <w:rsid w:val="38F261AD"/>
    <w:rsid w:val="3FD339BE"/>
    <w:rsid w:val="47844884"/>
    <w:rsid w:val="49BB6DBC"/>
    <w:rsid w:val="57526D21"/>
    <w:rsid w:val="5C823600"/>
    <w:rsid w:val="658F0181"/>
    <w:rsid w:val="660A4B8C"/>
    <w:rsid w:val="674B3B81"/>
    <w:rsid w:val="79DA14CC"/>
    <w:rsid w:val="7ABB29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autoRedefine/>
    <w:unhideWhenUsed/>
    <w:qFormat/>
    <w:uiPriority w:val="9"/>
    <w:pPr>
      <w:keepNext/>
      <w:pBdr>
        <w:top w:val="none" w:color="auto" w:sz="0" w:space="1"/>
        <w:left w:val="none" w:color="auto" w:sz="0" w:space="4"/>
        <w:bottom w:val="none" w:color="auto" w:sz="0" w:space="1"/>
        <w:right w:val="none" w:color="auto" w:sz="0" w:space="4"/>
      </w:pBdr>
      <w:spacing w:line="360" w:lineRule="auto"/>
      <w:jc w:val="left"/>
      <w:outlineLvl w:val="1"/>
    </w:pPr>
    <w:rPr>
      <w:rFonts w:ascii="Calibri" w:hAnsi="Calibri" w:eastAsia="宋体"/>
      <w:b/>
      <w:sz w:val="24"/>
    </w:rPr>
  </w:style>
  <w:style w:type="character" w:default="1" w:styleId="11">
    <w:name w:val="Default Paragraph Font"/>
    <w:autoRedefine/>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rFonts w:eastAsia="楷体_GB2312"/>
      <w:sz w:val="26"/>
      <w:lang w:val="zh-CN"/>
    </w:rPr>
  </w:style>
  <w:style w:type="paragraph" w:styleId="4">
    <w:name w:val="Body Text"/>
    <w:basedOn w:val="1"/>
    <w:link w:val="12"/>
    <w:qFormat/>
    <w:uiPriority w:val="0"/>
    <w:pPr>
      <w:spacing w:after="140" w:line="276" w:lineRule="auto"/>
    </w:pPr>
  </w:style>
  <w:style w:type="paragraph" w:styleId="5">
    <w:name w:val="Balloon Text"/>
    <w:basedOn w:val="1"/>
    <w:link w:val="20"/>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cs="Times New Roman"/>
      <w:kern w:val="0"/>
      <w:sz w:val="24"/>
    </w:rPr>
  </w:style>
  <w:style w:type="table" w:styleId="10">
    <w:name w:val="Table Grid"/>
    <w:basedOn w:val="9"/>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2">
    <w:name w:val="正文文本 Char"/>
    <w:basedOn w:val="11"/>
    <w:link w:val="4"/>
    <w:qFormat/>
    <w:uiPriority w:val="0"/>
    <w:rPr>
      <w:rFonts w:ascii="Calibri" w:hAnsi="Calibri" w:eastAsia="宋体" w:cs="宋体"/>
      <w:szCs w:val="24"/>
    </w:rPr>
  </w:style>
  <w:style w:type="table" w:customStyle="1" w:styleId="13">
    <w:name w:val="Table Normal1"/>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4">
    <w:name w:val="标题 11"/>
    <w:basedOn w:val="1"/>
    <w:qFormat/>
    <w:uiPriority w:val="1"/>
    <w:pPr>
      <w:autoSpaceDE w:val="0"/>
      <w:autoSpaceDN w:val="0"/>
      <w:spacing w:line="657" w:lineRule="exact"/>
      <w:ind w:right="100"/>
      <w:jc w:val="center"/>
      <w:outlineLvl w:val="1"/>
    </w:pPr>
    <w:rPr>
      <w:rFonts w:ascii="Arial Unicode MS" w:hAnsi="Arial Unicode MS" w:eastAsia="Arial Unicode MS" w:cs="Arial Unicode MS"/>
      <w:kern w:val="0"/>
      <w:sz w:val="44"/>
      <w:szCs w:val="44"/>
      <w:lang w:val="zh-CN" w:bidi="zh-CN"/>
    </w:rPr>
  </w:style>
  <w:style w:type="paragraph" w:customStyle="1" w:styleId="15">
    <w:name w:val="Table Paragraph"/>
    <w:basedOn w:val="1"/>
    <w:qFormat/>
    <w:uiPriority w:val="1"/>
    <w:pPr>
      <w:autoSpaceDE w:val="0"/>
      <w:autoSpaceDN w:val="0"/>
      <w:ind w:left="106"/>
      <w:jc w:val="left"/>
    </w:pPr>
    <w:rPr>
      <w:rFonts w:ascii="宋体" w:hAnsi="宋体"/>
      <w:kern w:val="0"/>
      <w:sz w:val="22"/>
      <w:szCs w:val="22"/>
      <w:lang w:val="zh-CN" w:bidi="zh-CN"/>
    </w:rPr>
  </w:style>
  <w:style w:type="paragraph" w:customStyle="1" w:styleId="16">
    <w:name w:val="List Paragraph"/>
    <w:basedOn w:val="1"/>
    <w:qFormat/>
    <w:uiPriority w:val="34"/>
    <w:pPr>
      <w:ind w:firstLine="420" w:firstLineChars="200"/>
    </w:pPr>
  </w:style>
  <w:style w:type="paragraph" w:customStyle="1" w:styleId="17">
    <w:name w:val="paragraph"/>
    <w:basedOn w:val="1"/>
    <w:semiHidden/>
    <w:qFormat/>
    <w:uiPriority w:val="0"/>
    <w:pPr>
      <w:widowControl/>
      <w:spacing w:before="100" w:beforeAutospacing="1" w:after="100" w:afterAutospacing="1"/>
      <w:jc w:val="left"/>
    </w:pPr>
    <w:rPr>
      <w:rFonts w:ascii="等线" w:hAnsi="等线" w:eastAsia="等线" w:cs="Times New Roman"/>
      <w:kern w:val="0"/>
      <w:sz w:val="24"/>
    </w:rPr>
  </w:style>
  <w:style w:type="character" w:customStyle="1" w:styleId="18">
    <w:name w:val="页眉 Char"/>
    <w:basedOn w:val="11"/>
    <w:link w:val="7"/>
    <w:qFormat/>
    <w:uiPriority w:val="99"/>
    <w:rPr>
      <w:rFonts w:ascii="Calibri" w:hAnsi="Calibri" w:eastAsia="宋体" w:cs="宋体"/>
      <w:sz w:val="18"/>
      <w:szCs w:val="18"/>
    </w:rPr>
  </w:style>
  <w:style w:type="character" w:customStyle="1" w:styleId="19">
    <w:name w:val="页脚 Char"/>
    <w:basedOn w:val="11"/>
    <w:link w:val="6"/>
    <w:qFormat/>
    <w:uiPriority w:val="99"/>
    <w:rPr>
      <w:rFonts w:ascii="Calibri" w:hAnsi="Calibri" w:eastAsia="宋体" w:cs="宋体"/>
      <w:sz w:val="18"/>
      <w:szCs w:val="18"/>
    </w:rPr>
  </w:style>
  <w:style w:type="character" w:customStyle="1" w:styleId="20">
    <w:name w:val="批注框文本 Char"/>
    <w:basedOn w:val="11"/>
    <w:link w:val="5"/>
    <w:semiHidden/>
    <w:uiPriority w:val="99"/>
    <w:rPr>
      <w:rFonts w:ascii="Calibri" w:hAnsi="Calibri" w:eastAsia="宋体" w:cs="宋体"/>
      <w:kern w:val="2"/>
      <w:sz w:val="18"/>
      <w:szCs w:val="18"/>
    </w:rPr>
  </w:style>
  <w:style w:type="paragraph" w:customStyle="1" w:styleId="21">
    <w:name w:val="List"/>
    <w:basedOn w:val="1"/>
    <w:qFormat/>
    <w:uiPriority w:val="0"/>
    <w:pPr>
      <w:widowControl w:val="0"/>
      <w:adjustRightInd w:val="0"/>
      <w:spacing w:line="360" w:lineRule="atLeast"/>
      <w:ind w:left="420" w:hanging="420"/>
      <w:textAlignment w:val="baseline"/>
    </w:pPr>
    <w:rPr>
      <w:rFonts w:eastAsia="楷体"/>
      <w:sz w:val="24"/>
    </w:rPr>
  </w:style>
  <w:style w:type="paragraph" w:customStyle="1" w:styleId="22">
    <w:name w:val="List 2"/>
    <w:basedOn w:val="1"/>
    <w:qFormat/>
    <w:uiPriority w:val="0"/>
    <w:pPr>
      <w:widowControl w:val="0"/>
      <w:adjustRightInd w:val="0"/>
      <w:spacing w:line="360" w:lineRule="atLeast"/>
      <w:ind w:left="840" w:hanging="420"/>
      <w:textAlignment w:val="baseline"/>
    </w:pPr>
    <w:rPr>
      <w:rFonts w:eastAsia="楷体"/>
      <w:sz w:val="24"/>
    </w:rPr>
  </w:style>
  <w:style w:type="paragraph" w:customStyle="1" w:styleId="23">
    <w:name w:val="List 3"/>
    <w:basedOn w:val="1"/>
    <w:qFormat/>
    <w:uiPriority w:val="0"/>
    <w:pPr>
      <w:widowControl w:val="0"/>
      <w:adjustRightInd w:val="0"/>
      <w:spacing w:line="360" w:lineRule="atLeast"/>
      <w:ind w:left="1260" w:hanging="420"/>
      <w:textAlignment w:val="baseline"/>
    </w:pPr>
    <w:rPr>
      <w:rFonts w:eastAsia="楷体"/>
      <w:sz w:val="24"/>
    </w:rPr>
  </w:style>
  <w:style w:type="paragraph" w:customStyle="1" w:styleId="24">
    <w:name w:val="正文2"/>
    <w:basedOn w:val="1"/>
    <w:next w:val="1"/>
    <w:qFormat/>
    <w:uiPriority w:val="0"/>
    <w:pPr>
      <w:widowControl/>
      <w:snapToGrid w:val="0"/>
      <w:spacing w:line="520" w:lineRule="exact"/>
      <w:ind w:firstLine="200" w:firstLineChars="200"/>
      <w:jc w:val="left"/>
      <w:outlineLvl w:val="3"/>
    </w:pPr>
    <w:rPr>
      <w:rFonts w:ascii="宋体" w:hAnsi="宋体" w:eastAsia="仿宋_GB2312"/>
      <w:kern w:val="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F2103C-0A5E-4DB9-B252-A11C554B3BE6}">
  <ds:schemaRefs/>
</ds:datastoreItem>
</file>

<file path=docProps/app.xml><?xml version="1.0" encoding="utf-8"?>
<Properties xmlns="http://schemas.openxmlformats.org/officeDocument/2006/extended-properties" xmlns:vt="http://schemas.openxmlformats.org/officeDocument/2006/docPropsVTypes">
  <Template>Normal</Template>
  <Pages>11</Pages>
  <Words>5836</Words>
  <Characters>6145</Characters>
  <Lines>54</Lines>
  <Paragraphs>15</Paragraphs>
  <TotalTime>1</TotalTime>
  <ScaleCrop>false</ScaleCrop>
  <LinksUpToDate>false</LinksUpToDate>
  <CharactersWithSpaces>6277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2023-11-09T02:44:00Z</dcterms:created>
  <dc:creator>User</dc:creator>
  <cp:lastModifiedBy>Smile</cp:lastModifiedBy>
  <cp:lastPrinted>2023-12-08T13:22:00Z</cp:lastPrinted>
  <dcterms:modified xsi:type="dcterms:W3CDTF">2024-01-08T01:35:18Z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88CC289BE78647AB99D01173EBEFDC0B_13</vt:lpwstr>
  </property>
</Properties>
</file>